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34126" w14:textId="77777777" w:rsidR="007F6B77" w:rsidRDefault="007F6B77" w:rsidP="00433DC3">
      <w:pPr>
        <w:pStyle w:val="Heading1"/>
        <w:spacing w:before="120" w:after="0"/>
        <w:jc w:val="right"/>
        <w:rPr>
          <w:rFonts w:ascii="Myriad Pro" w:hAnsi="Myriad Pro"/>
          <w:sz w:val="24"/>
          <w:szCs w:val="24"/>
        </w:rPr>
      </w:pPr>
      <w:r w:rsidRPr="007F6B77">
        <w:rPr>
          <w:rFonts w:ascii="Myriad Pro" w:hAnsi="Myriad Pro"/>
          <w:noProof/>
          <w:sz w:val="40"/>
          <w:szCs w:val="40"/>
        </w:rPr>
        <w:drawing>
          <wp:anchor distT="0" distB="0" distL="114300" distR="114300" simplePos="0" relativeHeight="251658240" behindDoc="1" locked="0" layoutInCell="1" allowOverlap="1" wp14:anchorId="67D16001" wp14:editId="665CE6B8">
            <wp:simplePos x="0" y="0"/>
            <wp:positionH relativeFrom="margin">
              <wp:posOffset>-21590</wp:posOffset>
            </wp:positionH>
            <wp:positionV relativeFrom="margin">
              <wp:posOffset>-615315</wp:posOffset>
            </wp:positionV>
            <wp:extent cx="2570480" cy="90043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E_Minnesota_4cProces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80" cy="900430"/>
                    </a:xfrm>
                    <a:prstGeom prst="rect">
                      <a:avLst/>
                    </a:prstGeom>
                  </pic:spPr>
                </pic:pic>
              </a:graphicData>
            </a:graphic>
            <wp14:sizeRelH relativeFrom="margin">
              <wp14:pctWidth>0</wp14:pctWidth>
            </wp14:sizeRelH>
            <wp14:sizeRelV relativeFrom="margin">
              <wp14:pctHeight>0</wp14:pctHeight>
            </wp14:sizeRelV>
          </wp:anchor>
        </w:drawing>
      </w:r>
      <w:r w:rsidR="00A73EFF">
        <w:rPr>
          <w:rFonts w:ascii="Myriad Pro" w:hAnsi="Myriad Pro"/>
          <w:sz w:val="40"/>
          <w:szCs w:val="40"/>
        </w:rPr>
        <w:t xml:space="preserve">CTE </w:t>
      </w:r>
      <w:r w:rsidRPr="007F6B77">
        <w:rPr>
          <w:rFonts w:ascii="Myriad Pro" w:hAnsi="Myriad Pro"/>
          <w:sz w:val="40"/>
          <w:szCs w:val="40"/>
        </w:rPr>
        <w:t>Talking Points</w:t>
      </w:r>
      <w:r w:rsidR="00271BAC">
        <w:rPr>
          <w:rFonts w:ascii="Myriad Pro" w:hAnsi="Myriad Pro"/>
          <w:sz w:val="24"/>
          <w:szCs w:val="24"/>
        </w:rPr>
        <w:pict w14:anchorId="150C1150">
          <v:rect id="_x0000_i1025" style="width:7in;height:3pt" o:hralign="center" o:hrstd="t" o:hrnoshade="t" o:hr="t" fillcolor="#009aa6" stroked="f"/>
        </w:pict>
      </w:r>
    </w:p>
    <w:p w14:paraId="529708E0" w14:textId="77777777" w:rsidR="0031240B" w:rsidRPr="0020211B" w:rsidRDefault="0031240B" w:rsidP="0020211B">
      <w:pPr>
        <w:pStyle w:val="Heading1"/>
        <w:spacing w:before="120" w:after="0"/>
        <w:jc w:val="center"/>
        <w:rPr>
          <w:rFonts w:ascii="Myriad Pro" w:hAnsi="Myriad Pro"/>
          <w:b w:val="0"/>
          <w:color w:val="808080" w:themeColor="background1" w:themeShade="80"/>
          <w:sz w:val="29"/>
          <w:szCs w:val="29"/>
        </w:rPr>
      </w:pPr>
      <w:r w:rsidRPr="0020211B">
        <w:rPr>
          <w:rFonts w:ascii="Myriad Pro" w:hAnsi="Myriad Pro"/>
          <w:b w:val="0"/>
          <w:color w:val="808080" w:themeColor="background1" w:themeShade="80"/>
          <w:sz w:val="29"/>
          <w:szCs w:val="29"/>
        </w:rPr>
        <w:t>Minnesota State Colleges and Universities and Minnesota Department of Education</w:t>
      </w:r>
    </w:p>
    <w:p w14:paraId="073C4A74" w14:textId="77777777" w:rsidR="005A1D97" w:rsidRPr="0031240B" w:rsidRDefault="006A7AE1" w:rsidP="005A1D97">
      <w:pPr>
        <w:spacing w:after="0"/>
        <w:rPr>
          <w:rStyle w:val="IntenseEmphasis"/>
          <w:rFonts w:ascii="Myriad Pro" w:hAnsi="Myriad Pro"/>
          <w:i w:val="0"/>
        </w:rPr>
      </w:pPr>
      <w:r w:rsidRPr="00423AE4">
        <w:rPr>
          <w:rStyle w:val="IntenseEmphasis"/>
          <w:rFonts w:ascii="Myriad Pro" w:hAnsi="Myriad Pro"/>
          <w:i w:val="0"/>
          <w:noProof/>
          <w:color w:val="009AA6"/>
        </w:rPr>
        <mc:AlternateContent>
          <mc:Choice Requires="wps">
            <w:drawing>
              <wp:anchor distT="0" distB="0" distL="114300" distR="114300" simplePos="0" relativeHeight="251660288" behindDoc="1" locked="0" layoutInCell="1" allowOverlap="1" wp14:anchorId="0B00F631" wp14:editId="2F8DE728">
                <wp:simplePos x="0" y="0"/>
                <wp:positionH relativeFrom="column">
                  <wp:posOffset>3848100</wp:posOffset>
                </wp:positionH>
                <wp:positionV relativeFrom="paragraph">
                  <wp:posOffset>126365</wp:posOffset>
                </wp:positionV>
                <wp:extent cx="2374265" cy="4533900"/>
                <wp:effectExtent l="0" t="0" r="11430" b="19050"/>
                <wp:wrapTight wrapText="bothSides">
                  <wp:wrapPolygon edited="0">
                    <wp:start x="0" y="0"/>
                    <wp:lineTo x="0" y="21600"/>
                    <wp:lineTo x="21536" y="21600"/>
                    <wp:lineTo x="215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533900"/>
                        </a:xfrm>
                        <a:prstGeom prst="rect">
                          <a:avLst/>
                        </a:prstGeom>
                        <a:solidFill>
                          <a:srgbClr val="FFFFFF"/>
                        </a:solidFill>
                        <a:ln w="6350">
                          <a:solidFill>
                            <a:schemeClr val="bg1">
                              <a:lumMod val="65000"/>
                            </a:schemeClr>
                          </a:solidFill>
                          <a:miter lim="800000"/>
                          <a:headEnd/>
                          <a:tailEnd/>
                        </a:ln>
                      </wps:spPr>
                      <wps:txbx>
                        <w:txbxContent>
                          <w:p w14:paraId="581B5B85" w14:textId="77777777" w:rsidR="006A7AE1" w:rsidRPr="006A7AE1" w:rsidRDefault="00423AE4" w:rsidP="00423AE4">
                            <w:pPr>
                              <w:spacing w:after="0"/>
                              <w:rPr>
                                <w:rFonts w:ascii="Myriad Pro" w:hAnsi="Myriad Pro"/>
                                <w:b/>
                                <w:bCs/>
                                <w:iCs/>
                                <w:color w:val="009AA6"/>
                              </w:rPr>
                            </w:pPr>
                            <w:r>
                              <w:rPr>
                                <w:rStyle w:val="IntenseEmphasis"/>
                                <w:rFonts w:ascii="Myriad Pro" w:hAnsi="Myriad Pro"/>
                                <w:i w:val="0"/>
                                <w:color w:val="009AA6"/>
                              </w:rPr>
                              <w:t>Mission</w:t>
                            </w:r>
                          </w:p>
                          <w:p w14:paraId="2C92ECF6" w14:textId="77777777" w:rsidR="00423AE4" w:rsidRPr="001A7C9D" w:rsidRDefault="00423AE4" w:rsidP="00423AE4">
                            <w:pPr>
                              <w:spacing w:after="0"/>
                              <w:rPr>
                                <w:rFonts w:ascii="Myriad Pro" w:hAnsi="Myriad Pro"/>
                                <w:sz w:val="20"/>
                                <w:szCs w:val="20"/>
                              </w:rPr>
                            </w:pPr>
                            <w:r w:rsidRPr="001A7C9D">
                              <w:rPr>
                                <w:rFonts w:ascii="Myriad Pro" w:hAnsi="Myriad Pro"/>
                                <w:sz w:val="20"/>
                                <w:szCs w:val="20"/>
                              </w:rPr>
                              <w:t xml:space="preserve">Rather than develop a CTE mission and a vision statement, Minnesota built its State Plan around seven guiding principles: </w:t>
                            </w:r>
                          </w:p>
                          <w:p w14:paraId="1B996592"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CTE and academic/general education must be integrated in a more comprehensive way.</w:t>
                            </w:r>
                          </w:p>
                          <w:p w14:paraId="66DA6176"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College and work readiness skills are one and the same. </w:t>
                            </w:r>
                          </w:p>
                          <w:p w14:paraId="62D9DA62"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Each student needs at least some education or advanced training past high school, whether 2-year college, 4-year university, industry certification, or advanced training through work. </w:t>
                            </w:r>
                          </w:p>
                          <w:p w14:paraId="5A9BDEBB"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Federal Perkins funding for CTE is not an entitlement at either the state or local level. </w:t>
                            </w:r>
                          </w:p>
                          <w:p w14:paraId="28BC92D0"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All education spending must be connected with student success outcomes. </w:t>
                            </w:r>
                          </w:p>
                          <w:p w14:paraId="6558F819"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High schools and colleges should continue CTE programs and activities that have worked well. </w:t>
                            </w:r>
                          </w:p>
                          <w:p w14:paraId="2132BC50" w14:textId="77777777" w:rsidR="00423AE4" w:rsidRDefault="00423AE4" w:rsidP="006A7AE1">
                            <w:pPr>
                              <w:pStyle w:val="NoSpacing"/>
                              <w:numPr>
                                <w:ilvl w:val="0"/>
                                <w:numId w:val="5"/>
                              </w:numPr>
                              <w:rPr>
                                <w:rFonts w:ascii="Myriad Pro" w:hAnsi="Myriad Pro"/>
                                <w:sz w:val="20"/>
                                <w:szCs w:val="20"/>
                              </w:rPr>
                            </w:pPr>
                            <w:r w:rsidRPr="001A7C9D">
                              <w:rPr>
                                <w:rFonts w:ascii="Myriad Pro" w:hAnsi="Myriad Pro"/>
                                <w:sz w:val="20"/>
                                <w:szCs w:val="20"/>
                              </w:rPr>
                              <w:t xml:space="preserve">CTE must be strategically placed within the broader vision, mission and goals for education within the state of Minnesota. </w:t>
                            </w:r>
                          </w:p>
                          <w:p w14:paraId="326F0BC0" w14:textId="387A3E45" w:rsidR="006A7AE1" w:rsidRPr="006A7AE1" w:rsidRDefault="00896DD4" w:rsidP="00896DD4">
                            <w:pPr>
                              <w:pStyle w:val="NoSpacing"/>
                              <w:ind w:left="720"/>
                              <w:rPr>
                                <w:rFonts w:ascii="Myriad Pro" w:hAnsi="Myriad Pro"/>
                                <w:sz w:val="20"/>
                                <w:szCs w:val="20"/>
                              </w:rPr>
                            </w:pPr>
                            <w:r>
                              <w:rPr>
                                <w:rFonts w:ascii="Myriad Pro" w:hAnsi="Myriad Pro"/>
                                <w:sz w:val="20"/>
                                <w:szCs w:val="20"/>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00F631" id="_x0000_t202" coordsize="21600,21600" o:spt="202" path="m,l,21600r21600,l21600,xe">
                <v:stroke joinstyle="miter"/>
                <v:path gradientshapeok="t" o:connecttype="rect"/>
              </v:shapetype>
              <v:shape id="Text Box 2" o:spid="_x0000_s1026" type="#_x0000_t202" style="position:absolute;margin-left:303pt;margin-top:9.95pt;width:186.95pt;height:357pt;z-index:-251656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" strokecolor="#a5a5a5 [2092]" strokeweight=".5pt">
                <v:textbox>
                  <w:txbxContent>
                    <w:p w14:paraId="581B5B85" w14:textId="77777777" w:rsidR="006A7AE1" w:rsidRPr="006A7AE1" w:rsidRDefault="00423AE4" w:rsidP="00423AE4">
                      <w:pPr>
                        <w:spacing w:after="0"/>
                        <w:rPr>
                          <w:rFonts w:ascii="Myriad Pro" w:hAnsi="Myriad Pro"/>
                          <w:b/>
                          <w:bCs/>
                          <w:iCs/>
                          <w:color w:val="009AA6"/>
                        </w:rPr>
                      </w:pPr>
                      <w:r>
                        <w:rPr>
                          <w:rStyle w:val="IntenseEmphasis"/>
                          <w:rFonts w:ascii="Myriad Pro" w:hAnsi="Myriad Pro"/>
                          <w:i w:val="0"/>
                          <w:color w:val="009AA6"/>
                        </w:rPr>
                        <w:t>Mission</w:t>
                      </w:r>
                    </w:p>
                    <w:p w14:paraId="2C92ECF6" w14:textId="77777777" w:rsidR="00423AE4" w:rsidRPr="001A7C9D" w:rsidRDefault="00423AE4" w:rsidP="00423AE4">
                      <w:pPr>
                        <w:spacing w:after="0"/>
                        <w:rPr>
                          <w:rFonts w:ascii="Myriad Pro" w:hAnsi="Myriad Pro"/>
                          <w:sz w:val="20"/>
                          <w:szCs w:val="20"/>
                        </w:rPr>
                      </w:pPr>
                      <w:r w:rsidRPr="001A7C9D">
                        <w:rPr>
                          <w:rFonts w:ascii="Myriad Pro" w:hAnsi="Myriad Pro"/>
                          <w:sz w:val="20"/>
                          <w:szCs w:val="20"/>
                        </w:rPr>
                        <w:t xml:space="preserve">Rather than develop a CTE mission and a vision statement, Minnesota built its State Plan around seven guiding principles: </w:t>
                      </w:r>
                    </w:p>
                    <w:p w14:paraId="1B996592"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CTE and academic/general education must be integrated in a more comprehensive way.</w:t>
                      </w:r>
                    </w:p>
                    <w:p w14:paraId="66DA6176"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College and work readiness skills are one and the same. </w:t>
                      </w:r>
                    </w:p>
                    <w:p w14:paraId="62D9DA62"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Each student needs at least some education or advanced training past high school, whether 2-year college, 4-year university, industry certification, or advanced training through work. </w:t>
                      </w:r>
                    </w:p>
                    <w:p w14:paraId="5A9BDEBB"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Federal Perkins funding for CTE is not an entitlement at either the state or local level. </w:t>
                      </w:r>
                    </w:p>
                    <w:p w14:paraId="28BC92D0"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All education spending must be connected with student success outcomes. </w:t>
                      </w:r>
                    </w:p>
                    <w:p w14:paraId="6558F819" w14:textId="77777777" w:rsidR="00423AE4" w:rsidRPr="001A7C9D" w:rsidRDefault="00423AE4" w:rsidP="00423AE4">
                      <w:pPr>
                        <w:pStyle w:val="NoSpacing"/>
                        <w:numPr>
                          <w:ilvl w:val="0"/>
                          <w:numId w:val="5"/>
                        </w:numPr>
                        <w:rPr>
                          <w:rFonts w:ascii="Myriad Pro" w:hAnsi="Myriad Pro"/>
                          <w:sz w:val="20"/>
                          <w:szCs w:val="20"/>
                        </w:rPr>
                      </w:pPr>
                      <w:r w:rsidRPr="001A7C9D">
                        <w:rPr>
                          <w:rFonts w:ascii="Myriad Pro" w:hAnsi="Myriad Pro"/>
                          <w:sz w:val="20"/>
                          <w:szCs w:val="20"/>
                        </w:rPr>
                        <w:t xml:space="preserve">High schools and colleges should continue CTE programs and activities that have worked well. </w:t>
                      </w:r>
                    </w:p>
                    <w:p w14:paraId="2132BC50" w14:textId="77777777" w:rsidR="00423AE4" w:rsidRDefault="00423AE4" w:rsidP="006A7AE1">
                      <w:pPr>
                        <w:pStyle w:val="NoSpacing"/>
                        <w:numPr>
                          <w:ilvl w:val="0"/>
                          <w:numId w:val="5"/>
                        </w:numPr>
                        <w:rPr>
                          <w:rFonts w:ascii="Myriad Pro" w:hAnsi="Myriad Pro"/>
                          <w:sz w:val="20"/>
                          <w:szCs w:val="20"/>
                        </w:rPr>
                      </w:pPr>
                      <w:r w:rsidRPr="001A7C9D">
                        <w:rPr>
                          <w:rFonts w:ascii="Myriad Pro" w:hAnsi="Myriad Pro"/>
                          <w:sz w:val="20"/>
                          <w:szCs w:val="20"/>
                        </w:rPr>
                        <w:t xml:space="preserve">CTE must be strategically placed within the broader vision, mission and goals for education within the state of Minnesota. </w:t>
                      </w:r>
                    </w:p>
                    <w:p w14:paraId="326F0BC0" w14:textId="387A3E45" w:rsidR="006A7AE1" w:rsidRPr="006A7AE1" w:rsidRDefault="00896DD4" w:rsidP="00896DD4">
                      <w:pPr>
                        <w:pStyle w:val="NoSpacing"/>
                        <w:ind w:left="720"/>
                        <w:rPr>
                          <w:rFonts w:ascii="Myriad Pro" w:hAnsi="Myriad Pro"/>
                          <w:sz w:val="20"/>
                          <w:szCs w:val="20"/>
                        </w:rPr>
                      </w:pPr>
                      <w:r>
                        <w:rPr>
                          <w:rFonts w:ascii="Myriad Pro" w:hAnsi="Myriad Pro"/>
                          <w:sz w:val="20"/>
                          <w:szCs w:val="20"/>
                        </w:rPr>
                        <w:br/>
                      </w:r>
                    </w:p>
                  </w:txbxContent>
                </v:textbox>
                <w10:wrap type="tight"/>
              </v:shape>
            </w:pict>
          </mc:Fallback>
        </mc:AlternateContent>
      </w:r>
    </w:p>
    <w:p w14:paraId="2F00E5C9" w14:textId="77777777" w:rsidR="002D658F" w:rsidRDefault="0027236D" w:rsidP="005E5E49">
      <w:pPr>
        <w:spacing w:after="0" w:line="240" w:lineRule="auto"/>
        <w:rPr>
          <w:rFonts w:ascii="Myriad Pro" w:hAnsi="Myriad Pro"/>
        </w:rPr>
      </w:pPr>
      <w:r w:rsidRPr="00E85A31">
        <w:rPr>
          <w:rStyle w:val="IntenseEmphasis"/>
          <w:rFonts w:ascii="Myriad Pro" w:hAnsi="Myriad Pro"/>
          <w:i w:val="0"/>
          <w:color w:val="009AA6"/>
        </w:rPr>
        <w:t>What is CTE?</w:t>
      </w:r>
      <w:r w:rsidRPr="007F6B77">
        <w:rPr>
          <w:rFonts w:ascii="Myriad Pro" w:hAnsi="Myriad Pro"/>
        </w:rPr>
        <w:t xml:space="preserve"> </w:t>
      </w:r>
    </w:p>
    <w:p w14:paraId="43D22BF3" w14:textId="7657A234" w:rsidR="00413107" w:rsidRDefault="002D1926" w:rsidP="00C96462">
      <w:pPr>
        <w:spacing w:after="0" w:line="240" w:lineRule="auto"/>
        <w:rPr>
          <w:rFonts w:ascii="Myriad Pro" w:hAnsi="Myriad Pro"/>
          <w:sz w:val="20"/>
          <w:szCs w:val="20"/>
        </w:rPr>
      </w:pPr>
      <w:r w:rsidRPr="001A7C9D">
        <w:rPr>
          <w:rFonts w:ascii="Myriad Pro" w:hAnsi="Myriad Pro"/>
          <w:sz w:val="20"/>
          <w:szCs w:val="20"/>
        </w:rPr>
        <w:t>Career Technical Education (CTE) provides high school students and adults with the academic</w:t>
      </w:r>
      <w:r w:rsidR="0027236D" w:rsidRPr="001A7C9D">
        <w:rPr>
          <w:rFonts w:ascii="Myriad Pro" w:hAnsi="Myriad Pro"/>
          <w:sz w:val="20"/>
          <w:szCs w:val="20"/>
        </w:rPr>
        <w:t>/</w:t>
      </w:r>
      <w:r w:rsidRPr="001A7C9D">
        <w:rPr>
          <w:rFonts w:ascii="Myriad Pro" w:hAnsi="Myriad Pro"/>
          <w:sz w:val="20"/>
          <w:szCs w:val="20"/>
        </w:rPr>
        <w:t>general education and technical skills, knowledge and training necessary t</w:t>
      </w:r>
      <w:r w:rsidR="0027236D" w:rsidRPr="001A7C9D">
        <w:rPr>
          <w:rFonts w:ascii="Myriad Pro" w:hAnsi="Myriad Pro"/>
          <w:sz w:val="20"/>
          <w:szCs w:val="20"/>
        </w:rPr>
        <w:t>o</w:t>
      </w:r>
      <w:r w:rsidRPr="001A7C9D">
        <w:rPr>
          <w:rFonts w:ascii="Myriad Pro" w:hAnsi="Myriad Pro"/>
          <w:sz w:val="20"/>
          <w:szCs w:val="20"/>
        </w:rPr>
        <w:t xml:space="preserve"> succeed </w:t>
      </w:r>
      <w:r w:rsidR="0027236D" w:rsidRPr="001A7C9D">
        <w:rPr>
          <w:rFonts w:ascii="Myriad Pro" w:hAnsi="Myriad Pro"/>
          <w:sz w:val="20"/>
          <w:szCs w:val="20"/>
        </w:rPr>
        <w:t xml:space="preserve">and </w:t>
      </w:r>
      <w:r w:rsidR="00845FCA" w:rsidRPr="001A7C9D">
        <w:rPr>
          <w:rFonts w:ascii="Myriad Pro" w:hAnsi="Myriad Pro"/>
          <w:sz w:val="20"/>
          <w:szCs w:val="20"/>
        </w:rPr>
        <w:t xml:space="preserve">to </w:t>
      </w:r>
      <w:r w:rsidR="0027236D" w:rsidRPr="001A7C9D">
        <w:rPr>
          <w:rFonts w:ascii="Myriad Pro" w:hAnsi="Myriad Pro"/>
          <w:sz w:val="20"/>
          <w:szCs w:val="20"/>
        </w:rPr>
        <w:t>develop skills they will use throughout their careers. CTE programs are or</w:t>
      </w:r>
      <w:r w:rsidR="00C96462">
        <w:rPr>
          <w:rFonts w:ascii="Myriad Pro" w:hAnsi="Myriad Pro"/>
          <w:sz w:val="20"/>
          <w:szCs w:val="20"/>
        </w:rPr>
        <w:t xml:space="preserve">ganized into 16 career clusters </w:t>
      </w:r>
      <w:r w:rsidR="0027236D" w:rsidRPr="001A7C9D">
        <w:rPr>
          <w:rFonts w:ascii="Myriad Pro" w:hAnsi="Myriad Pro"/>
          <w:sz w:val="20"/>
          <w:szCs w:val="20"/>
        </w:rPr>
        <w:t>that identify the common core outcomes students need as they follow a pathway to their goals. CTE prepares students for the world of work and to be globally competitive by introducing them to workplace competencies, and makes academic/general education content accessible to students by providing it in a hands-on context.</w:t>
      </w:r>
    </w:p>
    <w:p w14:paraId="1AF68B18" w14:textId="77777777" w:rsidR="00C96462" w:rsidRPr="007F6B77" w:rsidRDefault="00C96462" w:rsidP="00C96462">
      <w:pPr>
        <w:spacing w:after="0" w:line="240" w:lineRule="auto"/>
        <w:rPr>
          <w:rFonts w:ascii="Myriad Pro" w:hAnsi="Myriad Pro"/>
        </w:rPr>
      </w:pPr>
    </w:p>
    <w:p w14:paraId="70ECF16D" w14:textId="77777777" w:rsidR="00253A90" w:rsidRPr="000E3807" w:rsidRDefault="00253A90" w:rsidP="005E5E49">
      <w:pPr>
        <w:spacing w:after="0"/>
        <w:rPr>
          <w:rStyle w:val="bold"/>
          <w:rFonts w:ascii="Myriad Pro" w:hAnsi="Myriad Pro"/>
          <w:color w:val="009AA6"/>
        </w:rPr>
      </w:pPr>
      <w:r w:rsidRPr="00E85A31">
        <w:rPr>
          <w:rStyle w:val="IntenseEmphasis"/>
          <w:rFonts w:ascii="Myriad Pro" w:hAnsi="Myriad Pro"/>
          <w:i w:val="0"/>
          <w:color w:val="009AA6"/>
        </w:rPr>
        <w:t>Minnesota CTE Goals</w:t>
      </w:r>
    </w:p>
    <w:p w14:paraId="4CF6CEDE" w14:textId="77777777" w:rsidR="00413107" w:rsidRPr="001A7C9D" w:rsidRDefault="00413107" w:rsidP="005E5E49">
      <w:pPr>
        <w:pStyle w:val="Title"/>
        <w:numPr>
          <w:ilvl w:val="0"/>
          <w:numId w:val="11"/>
        </w:numPr>
        <w:jc w:val="left"/>
        <w:rPr>
          <w:rFonts w:ascii="Myriad Pro" w:hAnsi="Myriad Pro" w:cs="Arial"/>
          <w:b w:val="0"/>
          <w:bCs w:val="0"/>
          <w:sz w:val="20"/>
          <w:szCs w:val="20"/>
        </w:rPr>
      </w:pPr>
      <w:r w:rsidRPr="001A7C9D">
        <w:rPr>
          <w:rFonts w:ascii="Myriad Pro" w:hAnsi="Myriad Pro" w:cs="Arial"/>
          <w:b w:val="0"/>
          <w:sz w:val="20"/>
          <w:szCs w:val="20"/>
        </w:rPr>
        <w:t>Development of Programs of Study/Career Pathways</w:t>
      </w:r>
    </w:p>
    <w:p w14:paraId="336B069F" w14:textId="77777777" w:rsidR="00413107" w:rsidRPr="001A7C9D" w:rsidRDefault="00413107" w:rsidP="005E5E49">
      <w:pPr>
        <w:pStyle w:val="Title"/>
        <w:numPr>
          <w:ilvl w:val="0"/>
          <w:numId w:val="11"/>
        </w:numPr>
        <w:jc w:val="left"/>
        <w:rPr>
          <w:rFonts w:ascii="Myriad Pro" w:hAnsi="Myriad Pro" w:cs="Arial"/>
          <w:b w:val="0"/>
          <w:bCs w:val="0"/>
          <w:sz w:val="20"/>
          <w:szCs w:val="20"/>
        </w:rPr>
      </w:pPr>
      <w:r w:rsidRPr="001A7C9D">
        <w:rPr>
          <w:rFonts w:ascii="Myriad Pro" w:hAnsi="Myriad Pro" w:cs="Arial"/>
          <w:b w:val="0"/>
          <w:sz w:val="20"/>
          <w:szCs w:val="20"/>
        </w:rPr>
        <w:t>Partnerships with business, industry, agencies</w:t>
      </w:r>
      <w:r w:rsidR="007D2B08">
        <w:rPr>
          <w:rFonts w:ascii="Myriad Pro" w:hAnsi="Myriad Pro" w:cs="Arial"/>
          <w:b w:val="0"/>
          <w:sz w:val="20"/>
          <w:szCs w:val="20"/>
        </w:rPr>
        <w:t xml:space="preserve">, </w:t>
      </w:r>
      <w:r w:rsidRPr="001A7C9D">
        <w:rPr>
          <w:rFonts w:ascii="Myriad Pro" w:hAnsi="Myriad Pro" w:cs="Arial"/>
          <w:b w:val="0"/>
          <w:sz w:val="20"/>
          <w:szCs w:val="20"/>
        </w:rPr>
        <w:t xml:space="preserve">and </w:t>
      </w:r>
      <w:r w:rsidR="007D2B08">
        <w:rPr>
          <w:rFonts w:ascii="Myriad Pro" w:hAnsi="Myriad Pro" w:cs="Arial"/>
          <w:b w:val="0"/>
          <w:sz w:val="20"/>
          <w:szCs w:val="20"/>
        </w:rPr>
        <w:t xml:space="preserve">community and </w:t>
      </w:r>
      <w:r w:rsidRPr="001A7C9D">
        <w:rPr>
          <w:rFonts w:ascii="Myriad Pro" w:hAnsi="Myriad Pro" w:cs="Arial"/>
          <w:b w:val="0"/>
          <w:sz w:val="20"/>
          <w:szCs w:val="20"/>
        </w:rPr>
        <w:t>educational organizations</w:t>
      </w:r>
    </w:p>
    <w:p w14:paraId="2BE9D1C9" w14:textId="563A3AC8" w:rsidR="00413107" w:rsidRPr="001A7C9D" w:rsidRDefault="00413107" w:rsidP="005E5E49">
      <w:pPr>
        <w:pStyle w:val="Title"/>
        <w:numPr>
          <w:ilvl w:val="0"/>
          <w:numId w:val="11"/>
        </w:numPr>
        <w:jc w:val="left"/>
        <w:rPr>
          <w:rFonts w:ascii="Myriad Pro" w:hAnsi="Myriad Pro" w:cs="Arial"/>
          <w:b w:val="0"/>
          <w:bCs w:val="0"/>
          <w:sz w:val="20"/>
          <w:szCs w:val="20"/>
        </w:rPr>
      </w:pPr>
      <w:r w:rsidRPr="001A7C9D">
        <w:rPr>
          <w:rFonts w:ascii="Myriad Pro" w:hAnsi="Myriad Pro" w:cs="Arial"/>
          <w:b w:val="0"/>
          <w:sz w:val="20"/>
          <w:szCs w:val="20"/>
        </w:rPr>
        <w:t>Success for all students, including special populations</w:t>
      </w:r>
    </w:p>
    <w:p w14:paraId="4421E58F" w14:textId="6E6F8182" w:rsidR="00413107" w:rsidRPr="001A7C9D" w:rsidRDefault="007D2B08" w:rsidP="005E5E49">
      <w:pPr>
        <w:pStyle w:val="Title"/>
        <w:numPr>
          <w:ilvl w:val="0"/>
          <w:numId w:val="11"/>
        </w:numPr>
        <w:jc w:val="left"/>
        <w:rPr>
          <w:rFonts w:ascii="Myriad Pro" w:hAnsi="Myriad Pro" w:cs="Arial"/>
          <w:b w:val="0"/>
          <w:bCs w:val="0"/>
          <w:sz w:val="20"/>
          <w:szCs w:val="20"/>
        </w:rPr>
      </w:pPr>
      <w:r>
        <w:rPr>
          <w:rFonts w:ascii="Myriad Pro" w:hAnsi="Myriad Pro" w:cs="Arial"/>
          <w:b w:val="0"/>
          <w:sz w:val="20"/>
          <w:szCs w:val="20"/>
        </w:rPr>
        <w:t>Contin</w:t>
      </w:r>
      <w:r w:rsidRPr="001A7C9D">
        <w:rPr>
          <w:rFonts w:ascii="Myriad Pro" w:hAnsi="Myriad Pro" w:cs="Arial"/>
          <w:b w:val="0"/>
          <w:sz w:val="20"/>
          <w:szCs w:val="20"/>
        </w:rPr>
        <w:t>uum</w:t>
      </w:r>
      <w:r w:rsidR="00413107" w:rsidRPr="001A7C9D">
        <w:rPr>
          <w:rFonts w:ascii="Myriad Pro" w:hAnsi="Myriad Pro" w:cs="Arial"/>
          <w:b w:val="0"/>
          <w:sz w:val="20"/>
          <w:szCs w:val="20"/>
        </w:rPr>
        <w:t xml:space="preserve"> of service and transitions for students</w:t>
      </w:r>
    </w:p>
    <w:p w14:paraId="63707B1C" w14:textId="77777777" w:rsidR="00413107" w:rsidRPr="001A7C9D" w:rsidRDefault="00413107" w:rsidP="005E5E49">
      <w:pPr>
        <w:pStyle w:val="Title"/>
        <w:numPr>
          <w:ilvl w:val="0"/>
          <w:numId w:val="11"/>
        </w:numPr>
        <w:jc w:val="left"/>
        <w:rPr>
          <w:rFonts w:ascii="Myriad Pro" w:hAnsi="Myriad Pro" w:cs="Arial"/>
          <w:b w:val="0"/>
          <w:bCs w:val="0"/>
          <w:sz w:val="20"/>
          <w:szCs w:val="20"/>
        </w:rPr>
      </w:pPr>
      <w:r w:rsidRPr="001A7C9D">
        <w:rPr>
          <w:rFonts w:ascii="Myriad Pro" w:hAnsi="Myriad Pro" w:cs="Arial"/>
          <w:b w:val="0"/>
          <w:sz w:val="20"/>
          <w:szCs w:val="20"/>
        </w:rPr>
        <w:t>Local consorti</w:t>
      </w:r>
      <w:r w:rsidR="007D2B08">
        <w:rPr>
          <w:rFonts w:ascii="Myriad Pro" w:hAnsi="Myriad Pro" w:cs="Arial"/>
          <w:b w:val="0"/>
          <w:sz w:val="20"/>
          <w:szCs w:val="20"/>
        </w:rPr>
        <w:t>um</w:t>
      </w:r>
      <w:r w:rsidRPr="001A7C9D">
        <w:rPr>
          <w:rFonts w:ascii="Myriad Pro" w:hAnsi="Myriad Pro" w:cs="Arial"/>
          <w:b w:val="0"/>
          <w:sz w:val="20"/>
          <w:szCs w:val="20"/>
        </w:rPr>
        <w:t xml:space="preserve"> and regional planning for effective use of resources to meet regional workforce needs</w:t>
      </w:r>
    </w:p>
    <w:p w14:paraId="6D2FCB0B" w14:textId="77777777" w:rsidR="00253A90" w:rsidRPr="001A7C9D" w:rsidRDefault="00253A90" w:rsidP="005E5E49">
      <w:pPr>
        <w:pStyle w:val="ListParagraph"/>
        <w:spacing w:after="0" w:line="240" w:lineRule="auto"/>
        <w:rPr>
          <w:rFonts w:ascii="Myriad Pro" w:hAnsi="Myriad Pro"/>
          <w:sz w:val="20"/>
          <w:szCs w:val="20"/>
        </w:rPr>
      </w:pPr>
    </w:p>
    <w:p w14:paraId="5D8D5816" w14:textId="77777777" w:rsidR="002D658F" w:rsidRPr="00370D3F" w:rsidRDefault="000E3807" w:rsidP="005E5E49">
      <w:pPr>
        <w:spacing w:after="0" w:line="240" w:lineRule="auto"/>
        <w:rPr>
          <w:rFonts w:ascii="Myriad Pro" w:hAnsi="Myriad Pro"/>
          <w:color w:val="009AA6"/>
        </w:rPr>
      </w:pPr>
      <w:r w:rsidRPr="00370D3F">
        <w:rPr>
          <w:rStyle w:val="IntenseEmphasis"/>
          <w:rFonts w:ascii="Myriad Pro" w:hAnsi="Myriad Pro"/>
          <w:i w:val="0"/>
          <w:color w:val="009AA6"/>
        </w:rPr>
        <w:t>CTE Enrollments</w:t>
      </w:r>
    </w:p>
    <w:p w14:paraId="12791DD6" w14:textId="0621015C" w:rsidR="00DE3664" w:rsidRPr="001A7C9D" w:rsidRDefault="001D7791" w:rsidP="005E5E49">
      <w:pPr>
        <w:spacing w:after="0" w:line="240" w:lineRule="auto"/>
        <w:rPr>
          <w:rFonts w:ascii="Myriad Pro" w:hAnsi="Myriad Pro" w:cs="Tahoma"/>
          <w:color w:val="000000"/>
          <w:sz w:val="20"/>
          <w:szCs w:val="20"/>
        </w:rPr>
      </w:pPr>
      <w:r w:rsidRPr="00370D3F">
        <w:rPr>
          <w:rFonts w:ascii="Myriad Pro" w:hAnsi="Myriad Pro" w:cs="Tahoma"/>
          <w:color w:val="000000"/>
          <w:sz w:val="20"/>
          <w:szCs w:val="20"/>
        </w:rPr>
        <w:t xml:space="preserve">In Minnesota, </w:t>
      </w:r>
      <w:r w:rsidR="00370D3F" w:rsidRPr="00370D3F">
        <w:rPr>
          <w:rFonts w:ascii="Myriad Pro" w:hAnsi="Myriad Pro" w:cs="Tahoma"/>
          <w:color w:val="000000"/>
          <w:sz w:val="20"/>
          <w:szCs w:val="20"/>
        </w:rPr>
        <w:t>223,833</w:t>
      </w:r>
      <w:r w:rsidRPr="00370D3F">
        <w:rPr>
          <w:rFonts w:ascii="Myriad Pro" w:hAnsi="Myriad Pro" w:cs="Tahoma"/>
          <w:color w:val="000000"/>
          <w:sz w:val="20"/>
          <w:szCs w:val="20"/>
        </w:rPr>
        <w:t xml:space="preserve"> secondary and postsecondary students were enrolled in career technical education courses in 201</w:t>
      </w:r>
      <w:r w:rsidR="00370D3F" w:rsidRPr="00370D3F">
        <w:rPr>
          <w:rFonts w:ascii="Myriad Pro" w:hAnsi="Myriad Pro" w:cs="Tahoma"/>
          <w:color w:val="000000"/>
          <w:sz w:val="20"/>
          <w:szCs w:val="20"/>
        </w:rPr>
        <w:t>4</w:t>
      </w:r>
      <w:r w:rsidR="00E24923" w:rsidRPr="00370D3F">
        <w:rPr>
          <w:rFonts w:ascii="Myriad Pro" w:hAnsi="Myriad Pro" w:cs="Tahoma"/>
          <w:color w:val="000000"/>
          <w:sz w:val="20"/>
          <w:szCs w:val="20"/>
        </w:rPr>
        <w:t>—</w:t>
      </w:r>
      <w:r w:rsidR="00370D3F" w:rsidRPr="00370D3F">
        <w:rPr>
          <w:rFonts w:ascii="Myriad Pro" w:hAnsi="Myriad Pro" w:cs="Tahoma"/>
          <w:color w:val="000000"/>
          <w:sz w:val="20"/>
          <w:szCs w:val="20"/>
        </w:rPr>
        <w:t>122,980</w:t>
      </w:r>
      <w:r w:rsidRPr="00370D3F">
        <w:rPr>
          <w:rFonts w:ascii="Myriad Pro" w:hAnsi="Myriad Pro" w:cs="Tahoma"/>
          <w:color w:val="000000"/>
          <w:sz w:val="20"/>
          <w:szCs w:val="20"/>
        </w:rPr>
        <w:t xml:space="preserve"> students took career technical education courses at the Minnesota State Colleges and Universities</w:t>
      </w:r>
      <w:r w:rsidR="00E24923" w:rsidRPr="00370D3F">
        <w:rPr>
          <w:rFonts w:ascii="Myriad Pro" w:hAnsi="Myriad Pro" w:cs="Tahoma"/>
          <w:color w:val="000000"/>
          <w:sz w:val="20"/>
          <w:szCs w:val="20"/>
        </w:rPr>
        <w:t xml:space="preserve"> and </w:t>
      </w:r>
      <w:r w:rsidR="00370D3F" w:rsidRPr="00370D3F">
        <w:rPr>
          <w:rFonts w:ascii="Myriad Pro" w:hAnsi="Myriad Pro" w:cs="Tahoma"/>
          <w:color w:val="000000"/>
          <w:sz w:val="20"/>
          <w:szCs w:val="20"/>
        </w:rPr>
        <w:t>100,853</w:t>
      </w:r>
      <w:r w:rsidR="00A5038F" w:rsidRPr="00370D3F">
        <w:rPr>
          <w:rFonts w:ascii="Myriad Pro" w:hAnsi="Myriad Pro" w:cs="Tahoma"/>
          <w:color w:val="000000"/>
          <w:sz w:val="20"/>
          <w:szCs w:val="20"/>
        </w:rPr>
        <w:t xml:space="preserve"> </w:t>
      </w:r>
      <w:r w:rsidRPr="00370D3F">
        <w:rPr>
          <w:rFonts w:ascii="Myriad Pro" w:hAnsi="Myriad Pro" w:cs="Tahoma"/>
          <w:color w:val="000000"/>
          <w:sz w:val="20"/>
          <w:szCs w:val="20"/>
        </w:rPr>
        <w:t>students took courses at public high schools.</w:t>
      </w:r>
    </w:p>
    <w:p w14:paraId="4B7A460D" w14:textId="77777777" w:rsidR="005E5E49" w:rsidRPr="007F6B77" w:rsidRDefault="005E5E49" w:rsidP="005E5E49">
      <w:pPr>
        <w:spacing w:after="0" w:line="240" w:lineRule="auto"/>
        <w:rPr>
          <w:rFonts w:ascii="Myriad Pro" w:hAnsi="Myriad Pro" w:cs="Tahoma"/>
          <w:color w:val="000000"/>
        </w:rPr>
      </w:pPr>
    </w:p>
    <w:p w14:paraId="2CDE3A1D" w14:textId="77777777" w:rsidR="002D658F" w:rsidRPr="000E3807" w:rsidRDefault="00097674" w:rsidP="005E5E49">
      <w:pPr>
        <w:spacing w:after="0" w:line="240" w:lineRule="auto"/>
        <w:rPr>
          <w:rFonts w:ascii="Myriad Pro" w:hAnsi="Myriad Pro"/>
          <w:color w:val="009AA6"/>
        </w:rPr>
      </w:pPr>
      <w:r w:rsidRPr="002D658F">
        <w:rPr>
          <w:rStyle w:val="IntenseEmphasis"/>
          <w:rFonts w:ascii="Myriad Pro" w:hAnsi="Myriad Pro"/>
          <w:i w:val="0"/>
          <w:color w:val="009AA6"/>
        </w:rPr>
        <w:t>CTE Students</w:t>
      </w:r>
    </w:p>
    <w:p w14:paraId="1D8D020C" w14:textId="73CB069E" w:rsidR="008C1DBE" w:rsidRPr="001A7C9D" w:rsidRDefault="00097674" w:rsidP="005E5E49">
      <w:pPr>
        <w:spacing w:after="0" w:line="240" w:lineRule="auto"/>
        <w:rPr>
          <w:rFonts w:ascii="Myriad Pro" w:hAnsi="Myriad Pro"/>
          <w:sz w:val="20"/>
          <w:szCs w:val="20"/>
        </w:rPr>
      </w:pPr>
      <w:r w:rsidRPr="001A7C9D">
        <w:rPr>
          <w:rFonts w:ascii="Myriad Pro" w:hAnsi="Myriad Pro"/>
          <w:sz w:val="20"/>
          <w:szCs w:val="20"/>
        </w:rPr>
        <w:t xml:space="preserve">CTE students are of all ages-youth to adult-and come from a wide range of backgrounds and experiences. </w:t>
      </w:r>
      <w:r w:rsidR="00E56CDA" w:rsidRPr="001A7C9D">
        <w:rPr>
          <w:rFonts w:ascii="Myriad Pro" w:hAnsi="Myriad Pro"/>
          <w:sz w:val="20"/>
          <w:szCs w:val="20"/>
        </w:rPr>
        <w:t>CTE students</w:t>
      </w:r>
      <w:r w:rsidRPr="001A7C9D">
        <w:rPr>
          <w:rFonts w:ascii="Myriad Pro" w:hAnsi="Myriad Pro"/>
          <w:sz w:val="20"/>
          <w:szCs w:val="20"/>
        </w:rPr>
        <w:t xml:space="preserve"> can take courses in secondary schools and transition into postsecondary colleges through a program of study in one of 16 career clusters. Adult CTE students, including working learners, dislocated workers, adult basic education students, English language workers and others enroll in colleges to advance their skills and earn more credentials within an adult career pathway</w:t>
      </w:r>
      <w:r w:rsidR="00E56CDA" w:rsidRPr="001A7C9D">
        <w:rPr>
          <w:rFonts w:ascii="Myriad Pro" w:hAnsi="Myriad Pro"/>
          <w:sz w:val="20"/>
          <w:szCs w:val="20"/>
        </w:rPr>
        <w:t xml:space="preserve"> in the same 16 career clusters </w:t>
      </w:r>
      <w:hyperlink r:id="rId8" w:history="1">
        <w:r w:rsidR="00E56CDA" w:rsidRPr="001A7C9D">
          <w:rPr>
            <w:rStyle w:val="Hyperlink"/>
            <w:rFonts w:ascii="Myriad Pro" w:hAnsi="Myriad Pro"/>
            <w:sz w:val="20"/>
            <w:szCs w:val="20"/>
          </w:rPr>
          <w:t>www.careertech.org</w:t>
        </w:r>
      </w:hyperlink>
      <w:r w:rsidRPr="001A7C9D">
        <w:rPr>
          <w:rFonts w:ascii="Myriad Pro" w:hAnsi="Myriad Pro"/>
          <w:sz w:val="20"/>
          <w:szCs w:val="20"/>
        </w:rPr>
        <w:t>.</w:t>
      </w:r>
      <w:r w:rsidR="00C03210">
        <w:rPr>
          <w:rFonts w:ascii="Myriad Pro" w:hAnsi="Myriad Pro"/>
          <w:sz w:val="20"/>
          <w:szCs w:val="20"/>
        </w:rPr>
        <w:t xml:space="preserve">  </w:t>
      </w:r>
      <w:r w:rsidR="00C03210">
        <w:rPr>
          <w:rFonts w:ascii="Myriad Pro" w:hAnsi="Myriad Pro"/>
          <w:sz w:val="20"/>
          <w:szCs w:val="20"/>
        </w:rPr>
        <w:t>CTE Learning that Works--Minnesota joined fifty other states in launching a national campaign to further highlight the benefits of CTE programs and careers. The campaign is primarily directed at students</w:t>
      </w:r>
      <w:r w:rsidR="00C03210" w:rsidRPr="001A7C9D">
        <w:rPr>
          <w:rFonts w:ascii="Myriad Pro" w:hAnsi="Myriad Pro"/>
          <w:sz w:val="20"/>
          <w:szCs w:val="20"/>
        </w:rPr>
        <w:t>.  Career information for the student audience highlights stude</w:t>
      </w:r>
      <w:r w:rsidR="00C03210">
        <w:rPr>
          <w:rFonts w:ascii="Myriad Pro" w:hAnsi="Myriad Pro"/>
          <w:sz w:val="20"/>
          <w:szCs w:val="20"/>
        </w:rPr>
        <w:t xml:space="preserve">nt stories, career pathways </w:t>
      </w:r>
      <w:r w:rsidR="00C03210" w:rsidRPr="001A7C9D">
        <w:rPr>
          <w:rFonts w:ascii="Myriad Pro" w:hAnsi="Myriad Pro"/>
          <w:sz w:val="20"/>
          <w:szCs w:val="20"/>
        </w:rPr>
        <w:t>information</w:t>
      </w:r>
      <w:r w:rsidR="00C03210" w:rsidRPr="00C03210">
        <w:rPr>
          <w:rFonts w:ascii="Myriad Pro" w:hAnsi="Myriad Pro"/>
          <w:sz w:val="20"/>
          <w:szCs w:val="20"/>
        </w:rPr>
        <w:t xml:space="preserve"> </w:t>
      </w:r>
      <w:hyperlink r:id="rId9" w:history="1">
        <w:r w:rsidR="00C03210" w:rsidRPr="001A7C9D">
          <w:rPr>
            <w:rStyle w:val="Hyperlink"/>
            <w:rFonts w:ascii="Myriad Pro" w:hAnsi="Myriad Pro"/>
            <w:sz w:val="20"/>
            <w:szCs w:val="20"/>
          </w:rPr>
          <w:t>www.learningthatworks.org</w:t>
        </w:r>
      </w:hyperlink>
      <w:r w:rsidR="00C03210">
        <w:rPr>
          <w:rFonts w:ascii="Myriad Pro" w:hAnsi="Myriad Pro"/>
          <w:sz w:val="20"/>
          <w:szCs w:val="20"/>
        </w:rPr>
        <w:t>.</w:t>
      </w:r>
    </w:p>
    <w:p w14:paraId="45945AE1" w14:textId="77777777" w:rsidR="005E5E49" w:rsidRPr="007F6B77" w:rsidRDefault="005E5E49" w:rsidP="005E5E49">
      <w:pPr>
        <w:spacing w:after="0" w:line="240" w:lineRule="auto"/>
        <w:rPr>
          <w:rFonts w:ascii="Myriad Pro" w:hAnsi="Myriad Pro"/>
        </w:rPr>
      </w:pPr>
    </w:p>
    <w:p w14:paraId="676F3F61" w14:textId="77777777" w:rsidR="002D658F" w:rsidRDefault="008C1DBE" w:rsidP="005E5E49">
      <w:pPr>
        <w:pStyle w:val="NoSpacing"/>
        <w:rPr>
          <w:rFonts w:ascii="Myriad Pro" w:hAnsi="Myriad Pro"/>
          <w:color w:val="009AA6"/>
        </w:rPr>
      </w:pPr>
      <w:r w:rsidRPr="00E85A31">
        <w:rPr>
          <w:rStyle w:val="IntenseEmphasis"/>
          <w:rFonts w:ascii="Myriad Pro" w:hAnsi="Myriad Pro"/>
          <w:i w:val="0"/>
          <w:color w:val="009AA6"/>
        </w:rPr>
        <w:t xml:space="preserve">CTE </w:t>
      </w:r>
      <w:r w:rsidR="00B9453A" w:rsidRPr="00E85A31">
        <w:rPr>
          <w:rStyle w:val="IntenseEmphasis"/>
          <w:rFonts w:ascii="Myriad Pro" w:hAnsi="Myriad Pro"/>
          <w:i w:val="0"/>
          <w:color w:val="009AA6"/>
        </w:rPr>
        <w:t>Works</w:t>
      </w:r>
      <w:r w:rsidR="006C1E5D" w:rsidRPr="00E85A31">
        <w:rPr>
          <w:rStyle w:val="IntenseEmphasis"/>
          <w:rFonts w:ascii="Myriad Pro" w:hAnsi="Myriad Pro"/>
          <w:i w:val="0"/>
          <w:color w:val="009AA6"/>
        </w:rPr>
        <w:t>! A Minnesota Summit on Career Technical Education</w:t>
      </w:r>
    </w:p>
    <w:p w14:paraId="31DF5DAE" w14:textId="21FD32CA" w:rsidR="00662575" w:rsidRPr="001A7C9D" w:rsidRDefault="006C1E5D" w:rsidP="005E5E49">
      <w:pPr>
        <w:pStyle w:val="NoSpacing"/>
        <w:rPr>
          <w:rStyle w:val="IntenseEmphasis"/>
          <w:rFonts w:ascii="Myriad Pro" w:hAnsi="Myriad Pro"/>
          <w:b w:val="0"/>
          <w:bCs w:val="0"/>
          <w:i w:val="0"/>
          <w:iCs w:val="0"/>
          <w:color w:val="auto"/>
          <w:sz w:val="20"/>
          <w:szCs w:val="20"/>
        </w:rPr>
      </w:pPr>
      <w:r w:rsidRPr="001A7C9D">
        <w:rPr>
          <w:rFonts w:ascii="Myriad Pro" w:hAnsi="Myriad Pro"/>
          <w:sz w:val="20"/>
          <w:szCs w:val="20"/>
        </w:rPr>
        <w:t xml:space="preserve">The </w:t>
      </w:r>
      <w:r w:rsidR="00C96462">
        <w:rPr>
          <w:rFonts w:ascii="Myriad Pro" w:hAnsi="Myriad Pro"/>
          <w:sz w:val="20"/>
          <w:szCs w:val="20"/>
        </w:rPr>
        <w:t xml:space="preserve">annual </w:t>
      </w:r>
      <w:r w:rsidRPr="001A7C9D">
        <w:rPr>
          <w:rFonts w:ascii="Myriad Pro" w:hAnsi="Myriad Pro"/>
          <w:sz w:val="20"/>
          <w:szCs w:val="20"/>
        </w:rPr>
        <w:t>summit showcase</w:t>
      </w:r>
      <w:r w:rsidR="00C03210">
        <w:rPr>
          <w:rFonts w:ascii="Myriad Pro" w:hAnsi="Myriad Pro"/>
          <w:sz w:val="20"/>
          <w:szCs w:val="20"/>
        </w:rPr>
        <w:t>s</w:t>
      </w:r>
      <w:r w:rsidRPr="001A7C9D">
        <w:rPr>
          <w:rFonts w:ascii="Myriad Pro" w:hAnsi="Myriad Pro"/>
          <w:sz w:val="20"/>
          <w:szCs w:val="20"/>
        </w:rPr>
        <w:t xml:space="preserve"> best practices in career technical education across the state of Minnesota.  It is attended by </w:t>
      </w:r>
      <w:r w:rsidR="00C03210">
        <w:rPr>
          <w:rFonts w:ascii="Myriad Pro" w:hAnsi="Myriad Pro"/>
          <w:sz w:val="20"/>
          <w:szCs w:val="20"/>
        </w:rPr>
        <w:t xml:space="preserve">over 325 </w:t>
      </w:r>
      <w:r w:rsidRPr="001A7C9D">
        <w:rPr>
          <w:rFonts w:ascii="Myriad Pro" w:hAnsi="Myriad Pro"/>
          <w:sz w:val="20"/>
          <w:szCs w:val="20"/>
        </w:rPr>
        <w:t>CTE teachers, faculty, counselors, advisors, administrators and business ind</w:t>
      </w:r>
      <w:r w:rsidR="007D2B08">
        <w:rPr>
          <w:rFonts w:ascii="Myriad Pro" w:hAnsi="Myriad Pro"/>
          <w:sz w:val="20"/>
          <w:szCs w:val="20"/>
        </w:rPr>
        <w:t xml:space="preserve">ustry leaders. </w:t>
      </w:r>
      <w:r w:rsidR="008C1DBE" w:rsidRPr="001A7C9D">
        <w:rPr>
          <w:rFonts w:ascii="Myriad Pro" w:hAnsi="Myriad Pro"/>
          <w:sz w:val="20"/>
          <w:szCs w:val="20"/>
        </w:rPr>
        <w:t xml:space="preserve"> </w:t>
      </w:r>
      <w:hyperlink r:id="rId10" w:history="1">
        <w:r w:rsidR="009F582D" w:rsidRPr="00666E3A">
          <w:rPr>
            <w:rStyle w:val="Hyperlink"/>
            <w:rFonts w:ascii="Myriad Pro" w:hAnsi="Myriad Pro"/>
            <w:sz w:val="20"/>
            <w:szCs w:val="20"/>
          </w:rPr>
          <w:t>www.cte.mnscu.edu/professionaldevelopment/index.html</w:t>
        </w:r>
      </w:hyperlink>
      <w:r w:rsidR="008C1DBE" w:rsidRPr="001A7C9D">
        <w:rPr>
          <w:rFonts w:ascii="Myriad Pro" w:hAnsi="Myriad Pro"/>
          <w:sz w:val="20"/>
          <w:szCs w:val="20"/>
        </w:rPr>
        <w:t xml:space="preserve"> </w:t>
      </w:r>
      <w:r w:rsidR="008C1DBE" w:rsidRPr="001A7C9D">
        <w:rPr>
          <w:rStyle w:val="IntenseEmphasis"/>
          <w:rFonts w:ascii="Myriad Pro" w:hAnsi="Myriad Pro"/>
          <w:b w:val="0"/>
          <w:bCs w:val="0"/>
          <w:i w:val="0"/>
          <w:iCs w:val="0"/>
          <w:color w:val="auto"/>
          <w:sz w:val="20"/>
          <w:szCs w:val="20"/>
        </w:rPr>
        <w:t xml:space="preserve">  </w:t>
      </w:r>
    </w:p>
    <w:p w14:paraId="6119B633" w14:textId="77777777" w:rsidR="005E5E49" w:rsidRPr="007F6B77" w:rsidRDefault="005E5E49" w:rsidP="005E5E49">
      <w:pPr>
        <w:pStyle w:val="NoSpacing"/>
        <w:rPr>
          <w:rStyle w:val="IntenseEmphasis"/>
          <w:rFonts w:ascii="Myriad Pro" w:hAnsi="Myriad Pro"/>
          <w:b w:val="0"/>
          <w:bCs w:val="0"/>
          <w:i w:val="0"/>
          <w:iCs w:val="0"/>
          <w:color w:val="auto"/>
        </w:rPr>
      </w:pPr>
    </w:p>
    <w:p w14:paraId="0242BDEA" w14:textId="77777777" w:rsidR="00E2596C" w:rsidRDefault="00E2596C">
      <w:pPr>
        <w:spacing w:after="0" w:line="240" w:lineRule="auto"/>
        <w:rPr>
          <w:rStyle w:val="IntenseEmphasis"/>
          <w:rFonts w:ascii="Myriad Pro" w:hAnsi="Myriad Pro"/>
          <w:i w:val="0"/>
          <w:color w:val="009AA6"/>
        </w:rPr>
      </w:pPr>
      <w:r>
        <w:rPr>
          <w:rStyle w:val="IntenseEmphasis"/>
          <w:rFonts w:ascii="Myriad Pro" w:hAnsi="Myriad Pro"/>
          <w:i w:val="0"/>
          <w:color w:val="009AA6"/>
        </w:rPr>
        <w:br w:type="page"/>
      </w:r>
    </w:p>
    <w:p w14:paraId="326FA223" w14:textId="3BFA0947" w:rsidR="005A1D97" w:rsidRPr="00C96462" w:rsidRDefault="000E3807" w:rsidP="005E5E49">
      <w:pPr>
        <w:spacing w:after="0" w:line="240" w:lineRule="auto"/>
        <w:rPr>
          <w:rStyle w:val="IntenseEmphasis"/>
          <w:rFonts w:ascii="Myriad Pro" w:hAnsi="Myriad Pro"/>
          <w:i w:val="0"/>
          <w:color w:val="009AA6"/>
        </w:rPr>
      </w:pPr>
      <w:bookmarkStart w:id="0" w:name="_GoBack"/>
      <w:bookmarkEnd w:id="0"/>
      <w:r w:rsidRPr="00C96462">
        <w:rPr>
          <w:rStyle w:val="IntenseEmphasis"/>
          <w:rFonts w:ascii="Myriad Pro" w:hAnsi="Myriad Pro"/>
          <w:i w:val="0"/>
          <w:color w:val="009AA6"/>
        </w:rPr>
        <w:lastRenderedPageBreak/>
        <w:t>Student Success</w:t>
      </w:r>
      <w:r w:rsidR="00C96462">
        <w:rPr>
          <w:rStyle w:val="IntenseEmphasis"/>
          <w:rFonts w:ascii="Myriad Pro" w:hAnsi="Myriad Pro"/>
          <w:i w:val="0"/>
          <w:color w:val="009AA6"/>
        </w:rPr>
        <w:t xml:space="preserve"> and Workforce Preparation</w:t>
      </w:r>
    </w:p>
    <w:p w14:paraId="7A42C788" w14:textId="714B2B0D" w:rsidR="00D87C9E" w:rsidRPr="00D87C9E" w:rsidRDefault="00D87C9E" w:rsidP="00E2596C">
      <w:pPr>
        <w:pStyle w:val="ListParagraph"/>
        <w:numPr>
          <w:ilvl w:val="0"/>
          <w:numId w:val="2"/>
        </w:numPr>
        <w:tabs>
          <w:tab w:val="left" w:pos="720"/>
        </w:tabs>
        <w:spacing w:after="0" w:line="240" w:lineRule="auto"/>
        <w:contextualSpacing w:val="0"/>
        <w:rPr>
          <w:rFonts w:ascii="Myriad Pro" w:hAnsi="Myriad Pro"/>
          <w:sz w:val="20"/>
          <w:szCs w:val="20"/>
        </w:rPr>
      </w:pPr>
      <w:r w:rsidRPr="00C96462">
        <w:rPr>
          <w:rFonts w:ascii="Myriad Pro" w:hAnsi="Myriad Pro"/>
          <w:sz w:val="20"/>
          <w:szCs w:val="20"/>
        </w:rPr>
        <w:t>High School Graduation Rates--</w:t>
      </w:r>
      <w:r w:rsidRPr="00C96462">
        <w:rPr>
          <w:rFonts w:ascii="Myriad Pro" w:hAnsi="Myriad Pro"/>
          <w:sz w:val="20"/>
          <w:szCs w:val="20"/>
        </w:rPr>
        <w:t>Reducing the graduation gap in MN</w:t>
      </w:r>
      <w:r w:rsidR="00C96462">
        <w:rPr>
          <w:rFonts w:ascii="Myriad Pro" w:hAnsi="Myriad Pro"/>
          <w:sz w:val="20"/>
          <w:szCs w:val="20"/>
        </w:rPr>
        <w:t>:</w:t>
      </w:r>
      <w:r w:rsidRPr="00D87C9E">
        <w:rPr>
          <w:rFonts w:ascii="Myriad Pro" w:hAnsi="Myriad Pro"/>
          <w:sz w:val="20"/>
          <w:szCs w:val="20"/>
        </w:rPr>
        <w:t xml:space="preserve"> The goal for the state of MN is to reduce the achievement gap by 50 percent by 2017</w:t>
      </w:r>
      <w:r w:rsidR="00C03210">
        <w:rPr>
          <w:rFonts w:ascii="Myriad Pro" w:hAnsi="Myriad Pro"/>
          <w:sz w:val="20"/>
          <w:szCs w:val="20"/>
        </w:rPr>
        <w:t>,</w:t>
      </w:r>
      <w:r w:rsidRPr="00D87C9E">
        <w:rPr>
          <w:rFonts w:ascii="Myriad Pro" w:hAnsi="Myriad Pro"/>
          <w:sz w:val="20"/>
          <w:szCs w:val="20"/>
        </w:rPr>
        <w:t xml:space="preserve"> </w:t>
      </w:r>
      <w:r w:rsidR="00C03210">
        <w:rPr>
          <w:rFonts w:ascii="Myriad Pro" w:hAnsi="Myriad Pro"/>
          <w:sz w:val="20"/>
          <w:szCs w:val="20"/>
        </w:rPr>
        <w:t>including</w:t>
      </w:r>
      <w:r w:rsidRPr="00D87C9E">
        <w:rPr>
          <w:rFonts w:ascii="Myriad Pro" w:hAnsi="Myriad Pro"/>
          <w:sz w:val="20"/>
          <w:szCs w:val="20"/>
        </w:rPr>
        <w:t xml:space="preserve"> the graduation gap. </w:t>
      </w:r>
      <w:r w:rsidR="00C03210">
        <w:rPr>
          <w:rFonts w:ascii="Myriad Pro" w:hAnsi="Myriad Pro"/>
          <w:sz w:val="20"/>
          <w:szCs w:val="20"/>
        </w:rPr>
        <w:t>The</w:t>
      </w:r>
      <w:r w:rsidRPr="00D87C9E">
        <w:rPr>
          <w:rFonts w:ascii="Myriad Pro" w:hAnsi="Myriad Pro"/>
          <w:sz w:val="20"/>
          <w:szCs w:val="20"/>
        </w:rPr>
        <w:t xml:space="preserve"> 4-year graduation rate (Class of 2013) for all students in MN is 79.8%. For CTE Concentrators who complete 240 or more CTE course hours within one Career Field, the 4-year graduation rate (Class of 2013) is 90.2%. For CTE Concentrators, this represents an overall increase of 2.2% from the previous year. </w:t>
      </w:r>
      <w:r w:rsidR="00C96462">
        <w:rPr>
          <w:rFonts w:ascii="Myriad Pro" w:hAnsi="Myriad Pro"/>
          <w:sz w:val="20"/>
          <w:szCs w:val="20"/>
        </w:rPr>
        <w:t>C</w:t>
      </w:r>
      <w:r w:rsidRPr="00D87C9E">
        <w:rPr>
          <w:rFonts w:ascii="Myriad Pro" w:hAnsi="Myriad Pro"/>
          <w:sz w:val="20"/>
          <w:szCs w:val="20"/>
        </w:rPr>
        <w:t>ompared with previous year’s outcomes, the NCLB 4-year graduation gap for African American CTE Concentrators was reduced by 8.5%, followed by Asian/Pacific Island CTE Concentrators 5.1%, and Hispanic Concentrators 2.3%.</w:t>
      </w:r>
      <w:r w:rsidRPr="00D87C9E">
        <w:rPr>
          <w:rFonts w:ascii="Myriad Pro" w:hAnsi="Myriad Pro"/>
          <w:sz w:val="20"/>
          <w:szCs w:val="20"/>
        </w:rPr>
        <w:t xml:space="preserve">There was </w:t>
      </w:r>
      <w:r w:rsidRPr="00D87C9E">
        <w:rPr>
          <w:rFonts w:ascii="Myriad Pro" w:hAnsi="Myriad Pro"/>
          <w:sz w:val="20"/>
          <w:szCs w:val="20"/>
        </w:rPr>
        <w:t xml:space="preserve">an overall 8.7% increase in the 4-year graduation rate for English Language Learners (82.2%), a 3.7% increase for Economically Disadvantaged students (83.3%), and a 3.0% increase for Individuals with Disabilities (72.4%).For each CTE Concentrator student group, the 2013-14 graduation rate is African American 77.2%, American Indian 74.0%, Asian/Pacific Island 88.6%, Hispanic 81.2%, White 92.2%. </w:t>
      </w:r>
    </w:p>
    <w:p w14:paraId="7FABE9DC" w14:textId="58B37039" w:rsidR="00253A90" w:rsidRPr="00D87C9E" w:rsidRDefault="00543277" w:rsidP="00E2596C">
      <w:pPr>
        <w:pStyle w:val="NoSpacing"/>
        <w:numPr>
          <w:ilvl w:val="0"/>
          <w:numId w:val="2"/>
        </w:numPr>
        <w:rPr>
          <w:rFonts w:ascii="Myriad Pro" w:hAnsi="Myriad Pro"/>
          <w:sz w:val="20"/>
          <w:szCs w:val="20"/>
        </w:rPr>
      </w:pPr>
      <w:r w:rsidRPr="00D87C9E">
        <w:rPr>
          <w:rFonts w:ascii="Myriad Pro" w:hAnsi="Myriad Pro"/>
          <w:sz w:val="20"/>
          <w:szCs w:val="20"/>
        </w:rPr>
        <w:t>8</w:t>
      </w:r>
      <w:r w:rsidR="00370D3F" w:rsidRPr="00D87C9E">
        <w:rPr>
          <w:rFonts w:ascii="Myriad Pro" w:hAnsi="Myriad Pro"/>
          <w:sz w:val="20"/>
          <w:szCs w:val="20"/>
        </w:rPr>
        <w:t>4</w:t>
      </w:r>
      <w:r w:rsidRPr="00D87C9E">
        <w:rPr>
          <w:rFonts w:ascii="Myriad Pro" w:hAnsi="Myriad Pro"/>
          <w:sz w:val="20"/>
          <w:szCs w:val="20"/>
        </w:rPr>
        <w:t xml:space="preserve"> percent </w:t>
      </w:r>
      <w:r w:rsidR="00B9453A" w:rsidRPr="00D87C9E">
        <w:rPr>
          <w:rFonts w:ascii="Myriad Pro" w:hAnsi="Myriad Pro"/>
          <w:sz w:val="20"/>
          <w:szCs w:val="20"/>
        </w:rPr>
        <w:t xml:space="preserve">of college CTE students </w:t>
      </w:r>
      <w:r w:rsidRPr="00D87C9E">
        <w:rPr>
          <w:rFonts w:ascii="Myriad Pro" w:hAnsi="Myriad Pro"/>
          <w:sz w:val="20"/>
          <w:szCs w:val="20"/>
        </w:rPr>
        <w:t xml:space="preserve">were placed or retained in employment, military service or apprenticeship by the end of the second quarter following the year they completed a CTE </w:t>
      </w:r>
      <w:r w:rsidR="005A1D97" w:rsidRPr="00D87C9E">
        <w:rPr>
          <w:rFonts w:ascii="Myriad Pro" w:hAnsi="Myriad Pro"/>
          <w:sz w:val="20"/>
          <w:szCs w:val="20"/>
        </w:rPr>
        <w:t>program</w:t>
      </w:r>
      <w:r w:rsidR="00B9453A" w:rsidRPr="00D87C9E">
        <w:rPr>
          <w:rFonts w:ascii="Myriad Pro" w:hAnsi="Myriad Pro"/>
          <w:sz w:val="20"/>
          <w:szCs w:val="20"/>
        </w:rPr>
        <w:t xml:space="preserve"> [Based on students entering a state college in FY20</w:t>
      </w:r>
      <w:r w:rsidR="00FC3361" w:rsidRPr="00D87C9E">
        <w:rPr>
          <w:rFonts w:ascii="Myriad Pro" w:hAnsi="Myriad Pro"/>
          <w:sz w:val="20"/>
          <w:szCs w:val="20"/>
        </w:rPr>
        <w:t>1</w:t>
      </w:r>
      <w:r w:rsidR="00370D3F" w:rsidRPr="00D87C9E">
        <w:rPr>
          <w:rFonts w:ascii="Myriad Pro" w:hAnsi="Myriad Pro"/>
          <w:sz w:val="20"/>
          <w:szCs w:val="20"/>
        </w:rPr>
        <w:t>1</w:t>
      </w:r>
      <w:r w:rsidR="00B9453A" w:rsidRPr="00D87C9E">
        <w:rPr>
          <w:rFonts w:ascii="Myriad Pro" w:hAnsi="Myriad Pro"/>
          <w:sz w:val="20"/>
          <w:szCs w:val="20"/>
        </w:rPr>
        <w:t xml:space="preserve"> and receiving an award within three years]</w:t>
      </w:r>
    </w:p>
    <w:p w14:paraId="7DFE6F8D" w14:textId="77777777" w:rsidR="00D87C9E" w:rsidRPr="00D87C9E" w:rsidRDefault="003134EB" w:rsidP="00E2596C">
      <w:pPr>
        <w:pStyle w:val="ListParagraph"/>
        <w:numPr>
          <w:ilvl w:val="0"/>
          <w:numId w:val="2"/>
        </w:numPr>
        <w:spacing w:after="0" w:line="240" w:lineRule="auto"/>
        <w:rPr>
          <w:rFonts w:ascii="Myriad Pro" w:hAnsi="Myriad Pro"/>
          <w:sz w:val="20"/>
          <w:szCs w:val="20"/>
        </w:rPr>
      </w:pPr>
      <w:r w:rsidRPr="00D87C9E">
        <w:rPr>
          <w:rFonts w:ascii="Myriad Pro" w:hAnsi="Myriad Pro"/>
          <w:color w:val="000000"/>
          <w:sz w:val="20"/>
          <w:szCs w:val="20"/>
        </w:rPr>
        <w:t>78 percent of college students concentrating in CTE graduated or continued their education—46 percent earned a CTE award, a certificate, diploma or associate degree within three years and 32 percent were retained or transferred to a two year college or four year university. [Based on students entering a state college in FY20</w:t>
      </w:r>
      <w:r w:rsidR="00FC3361" w:rsidRPr="00D87C9E">
        <w:rPr>
          <w:rFonts w:ascii="Myriad Pro" w:hAnsi="Myriad Pro"/>
          <w:color w:val="000000"/>
          <w:sz w:val="20"/>
          <w:szCs w:val="20"/>
        </w:rPr>
        <w:t>1</w:t>
      </w:r>
      <w:r w:rsidR="00370D3F" w:rsidRPr="00D87C9E">
        <w:rPr>
          <w:rFonts w:ascii="Myriad Pro" w:hAnsi="Myriad Pro"/>
          <w:color w:val="000000"/>
          <w:sz w:val="20"/>
          <w:szCs w:val="20"/>
        </w:rPr>
        <w:t>2</w:t>
      </w:r>
      <w:r w:rsidR="00FC3361" w:rsidRPr="00D87C9E">
        <w:rPr>
          <w:rFonts w:ascii="Myriad Pro" w:hAnsi="Myriad Pro"/>
          <w:color w:val="000000"/>
          <w:sz w:val="20"/>
          <w:szCs w:val="20"/>
        </w:rPr>
        <w:t xml:space="preserve"> </w:t>
      </w:r>
      <w:r w:rsidRPr="00D87C9E">
        <w:rPr>
          <w:rFonts w:ascii="Myriad Pro" w:hAnsi="Myriad Pro"/>
          <w:color w:val="000000"/>
          <w:sz w:val="20"/>
          <w:szCs w:val="20"/>
        </w:rPr>
        <w:t>and followed for three years.]</w:t>
      </w:r>
    </w:p>
    <w:p w14:paraId="4BF2D933" w14:textId="250A6930" w:rsidR="00543277" w:rsidRPr="00C96462" w:rsidRDefault="00FC3361" w:rsidP="00E2596C">
      <w:pPr>
        <w:pStyle w:val="ListParagraph"/>
        <w:numPr>
          <w:ilvl w:val="0"/>
          <w:numId w:val="2"/>
        </w:numPr>
        <w:spacing w:after="0" w:line="240" w:lineRule="auto"/>
        <w:rPr>
          <w:rFonts w:ascii="Myriad Pro" w:hAnsi="Myriad Pro"/>
          <w:sz w:val="20"/>
          <w:szCs w:val="20"/>
        </w:rPr>
      </w:pPr>
      <w:r w:rsidRPr="00C96462">
        <w:rPr>
          <w:rFonts w:ascii="Myriad Pro" w:hAnsi="Myriad Pro"/>
          <w:sz w:val="20"/>
          <w:szCs w:val="20"/>
        </w:rPr>
        <w:t>Over 22,</w:t>
      </w:r>
      <w:r w:rsidR="00370D3F" w:rsidRPr="00C96462">
        <w:rPr>
          <w:rFonts w:ascii="Myriad Pro" w:hAnsi="Myriad Pro"/>
          <w:sz w:val="20"/>
          <w:szCs w:val="20"/>
        </w:rPr>
        <w:t>0</w:t>
      </w:r>
      <w:r w:rsidRPr="00C96462">
        <w:rPr>
          <w:rFonts w:ascii="Myriad Pro" w:hAnsi="Myriad Pro"/>
          <w:sz w:val="20"/>
          <w:szCs w:val="20"/>
        </w:rPr>
        <w:t>00</w:t>
      </w:r>
      <w:r w:rsidR="00543277" w:rsidRPr="00C96462">
        <w:rPr>
          <w:rFonts w:ascii="Myriad Pro" w:hAnsi="Myriad Pro"/>
          <w:sz w:val="20"/>
          <w:szCs w:val="20"/>
        </w:rPr>
        <w:t xml:space="preserve"> CTE awards were earned by college graduates in FY1</w:t>
      </w:r>
      <w:r w:rsidR="00370D3F" w:rsidRPr="00C96462">
        <w:rPr>
          <w:rFonts w:ascii="Myriad Pro" w:hAnsi="Myriad Pro"/>
          <w:sz w:val="20"/>
          <w:szCs w:val="20"/>
        </w:rPr>
        <w:t xml:space="preserve">4 </w:t>
      </w:r>
      <w:r w:rsidR="00543277" w:rsidRPr="00C96462">
        <w:rPr>
          <w:rFonts w:ascii="Myriad Pro" w:hAnsi="Myriad Pro"/>
          <w:sz w:val="20"/>
          <w:szCs w:val="20"/>
        </w:rPr>
        <w:t>—</w:t>
      </w:r>
      <w:r w:rsidR="00320F42" w:rsidRPr="00C96462">
        <w:rPr>
          <w:rFonts w:ascii="Myriad Pro" w:hAnsi="Myriad Pro"/>
          <w:sz w:val="20"/>
          <w:szCs w:val="20"/>
        </w:rPr>
        <w:t>10,</w:t>
      </w:r>
      <w:r w:rsidR="00370D3F" w:rsidRPr="00C96462">
        <w:rPr>
          <w:rFonts w:ascii="Myriad Pro" w:hAnsi="Myriad Pro"/>
          <w:sz w:val="20"/>
          <w:szCs w:val="20"/>
        </w:rPr>
        <w:t>022</w:t>
      </w:r>
      <w:r w:rsidR="00543277" w:rsidRPr="00C96462">
        <w:rPr>
          <w:rFonts w:ascii="Myriad Pro" w:hAnsi="Myriad Pro"/>
          <w:sz w:val="20"/>
          <w:szCs w:val="20"/>
        </w:rPr>
        <w:t xml:space="preserve"> associate degrees (AAS/AS), 5,</w:t>
      </w:r>
      <w:r w:rsidRPr="00C96462">
        <w:rPr>
          <w:rFonts w:ascii="Myriad Pro" w:hAnsi="Myriad Pro"/>
          <w:sz w:val="20"/>
          <w:szCs w:val="20"/>
        </w:rPr>
        <w:t>1</w:t>
      </w:r>
      <w:r w:rsidR="00370D3F" w:rsidRPr="00C96462">
        <w:rPr>
          <w:rFonts w:ascii="Myriad Pro" w:hAnsi="Myriad Pro"/>
          <w:sz w:val="20"/>
          <w:szCs w:val="20"/>
        </w:rPr>
        <w:t>98</w:t>
      </w:r>
      <w:r w:rsidR="00320F42" w:rsidRPr="00C96462">
        <w:rPr>
          <w:rFonts w:ascii="Myriad Pro" w:hAnsi="Myriad Pro"/>
          <w:sz w:val="20"/>
          <w:szCs w:val="20"/>
        </w:rPr>
        <w:t xml:space="preserve"> diplomas and </w:t>
      </w:r>
      <w:r w:rsidR="00370D3F" w:rsidRPr="00C96462">
        <w:rPr>
          <w:rFonts w:ascii="Myriad Pro" w:hAnsi="Myriad Pro"/>
          <w:sz w:val="20"/>
          <w:szCs w:val="20"/>
        </w:rPr>
        <w:t>6,906</w:t>
      </w:r>
      <w:r w:rsidR="00543277" w:rsidRPr="00C96462">
        <w:rPr>
          <w:rFonts w:ascii="Myriad Pro" w:hAnsi="Myriad Pro"/>
          <w:sz w:val="20"/>
          <w:szCs w:val="20"/>
        </w:rPr>
        <w:t xml:space="preserve"> certificates. </w:t>
      </w:r>
      <w:r w:rsidR="00AD2EAB" w:rsidRPr="00C96462">
        <w:rPr>
          <w:rFonts w:ascii="Myriad Pro" w:hAnsi="Myriad Pro"/>
          <w:sz w:val="20"/>
          <w:szCs w:val="20"/>
        </w:rPr>
        <w:t>[</w:t>
      </w:r>
      <w:r w:rsidR="00320F42" w:rsidRPr="00C96462">
        <w:rPr>
          <w:rFonts w:ascii="Myriad Pro" w:hAnsi="Myriad Pro"/>
          <w:sz w:val="20"/>
          <w:szCs w:val="20"/>
        </w:rPr>
        <w:t xml:space="preserve">preliminary </w:t>
      </w:r>
      <w:r w:rsidR="006C1E5D" w:rsidRPr="00C96462">
        <w:rPr>
          <w:rFonts w:ascii="Myriad Pro" w:hAnsi="Myriad Pro"/>
          <w:sz w:val="20"/>
          <w:szCs w:val="20"/>
        </w:rPr>
        <w:t>ISRS awards data for FY201</w:t>
      </w:r>
      <w:r w:rsidR="00370D3F" w:rsidRPr="00C96462">
        <w:rPr>
          <w:rFonts w:ascii="Myriad Pro" w:hAnsi="Myriad Pro"/>
          <w:sz w:val="20"/>
          <w:szCs w:val="20"/>
        </w:rPr>
        <w:t>4</w:t>
      </w:r>
      <w:r w:rsidR="00AD2EAB" w:rsidRPr="00C96462">
        <w:rPr>
          <w:rFonts w:ascii="Myriad Pro" w:hAnsi="Myriad Pro"/>
          <w:sz w:val="20"/>
          <w:szCs w:val="20"/>
        </w:rPr>
        <w:t>]</w:t>
      </w:r>
    </w:p>
    <w:p w14:paraId="7A29E5EF" w14:textId="5A9E12B3" w:rsidR="002A3EF1" w:rsidRPr="00F53DD8" w:rsidRDefault="000771A1" w:rsidP="00E2596C">
      <w:pPr>
        <w:numPr>
          <w:ilvl w:val="0"/>
          <w:numId w:val="3"/>
        </w:numPr>
        <w:spacing w:after="0" w:line="240" w:lineRule="auto"/>
        <w:rPr>
          <w:rFonts w:ascii="Myriad Pro" w:hAnsi="Myriad Pro"/>
          <w:sz w:val="20"/>
          <w:szCs w:val="20"/>
        </w:rPr>
      </w:pPr>
      <w:r w:rsidRPr="00F53DD8">
        <w:rPr>
          <w:rFonts w:ascii="Myriad Pro" w:hAnsi="Myriad Pro"/>
          <w:sz w:val="20"/>
          <w:szCs w:val="20"/>
        </w:rPr>
        <w:t>CTE prepares students for some of the fastest growing jobs forecasted to rise in coming years</w:t>
      </w:r>
      <w:r w:rsidR="005E5E49" w:rsidRPr="00F53DD8">
        <w:rPr>
          <w:rFonts w:ascii="Myriad Pro" w:hAnsi="Myriad Pro"/>
          <w:sz w:val="20"/>
          <w:szCs w:val="20"/>
        </w:rPr>
        <w:t>,</w:t>
      </w:r>
      <w:r w:rsidRPr="00F53DD8">
        <w:rPr>
          <w:rFonts w:ascii="Myriad Pro" w:hAnsi="Myriad Pro"/>
          <w:sz w:val="20"/>
          <w:szCs w:val="20"/>
        </w:rPr>
        <w:t xml:space="preserve"> such as health care, business, arts, agriculture, information technology, </w:t>
      </w:r>
      <w:r w:rsidR="00F53DD8" w:rsidRPr="00F53DD8">
        <w:rPr>
          <w:rFonts w:ascii="Myriad Pro" w:hAnsi="Myriad Pro"/>
          <w:sz w:val="20"/>
          <w:szCs w:val="20"/>
        </w:rPr>
        <w:t>and construction</w:t>
      </w:r>
      <w:r w:rsidRPr="00F53DD8">
        <w:rPr>
          <w:rFonts w:ascii="Myriad Pro" w:hAnsi="Myriad Pro"/>
          <w:sz w:val="20"/>
          <w:szCs w:val="20"/>
        </w:rPr>
        <w:t>.  “Careers with the Most Openings</w:t>
      </w:r>
      <w:r w:rsidR="00F53DD8" w:rsidRPr="00F53DD8">
        <w:rPr>
          <w:rFonts w:ascii="Myriad Pro" w:hAnsi="Myriad Pro"/>
          <w:sz w:val="20"/>
          <w:szCs w:val="20"/>
        </w:rPr>
        <w:t xml:space="preserve"> in Minnesota</w:t>
      </w:r>
      <w:r w:rsidRPr="00F53DD8">
        <w:rPr>
          <w:rFonts w:ascii="Myriad Pro" w:hAnsi="Myriad Pro"/>
          <w:sz w:val="20"/>
          <w:szCs w:val="20"/>
        </w:rPr>
        <w:t xml:space="preserve">” </w:t>
      </w:r>
      <w:hyperlink r:id="rId11" w:history="1">
        <w:r w:rsidRPr="00F53DD8">
          <w:rPr>
            <w:rStyle w:val="Hyperlink"/>
            <w:rFonts w:ascii="Myriad Pro" w:hAnsi="Myriad Pro"/>
            <w:sz w:val="20"/>
            <w:szCs w:val="20"/>
          </w:rPr>
          <w:t>www.iseek.org/careers</w:t>
        </w:r>
      </w:hyperlink>
      <w:r w:rsidR="0049035B" w:rsidRPr="00F53DD8">
        <w:rPr>
          <w:rStyle w:val="Hyperlink"/>
          <w:rFonts w:ascii="Myriad Pro" w:hAnsi="Myriad Pro"/>
          <w:sz w:val="20"/>
          <w:szCs w:val="20"/>
        </w:rPr>
        <w:t>/highdemand</w:t>
      </w:r>
      <w:r w:rsidRPr="00F53DD8">
        <w:rPr>
          <w:rFonts w:ascii="Myriad Pro" w:hAnsi="Myriad Pro"/>
          <w:sz w:val="20"/>
          <w:szCs w:val="20"/>
        </w:rPr>
        <w:t xml:space="preserve"> </w:t>
      </w:r>
    </w:p>
    <w:p w14:paraId="3466FE35" w14:textId="2A71F554" w:rsidR="002A3EF1" w:rsidRPr="00F53DD8" w:rsidRDefault="009C2D38" w:rsidP="00E2596C">
      <w:pPr>
        <w:numPr>
          <w:ilvl w:val="0"/>
          <w:numId w:val="3"/>
        </w:numPr>
        <w:spacing w:after="0" w:line="240" w:lineRule="auto"/>
        <w:rPr>
          <w:rFonts w:ascii="Myriad Pro" w:hAnsi="Myriad Pro"/>
          <w:sz w:val="20"/>
          <w:szCs w:val="20"/>
        </w:rPr>
      </w:pPr>
      <w:r w:rsidRPr="00F53DD8">
        <w:rPr>
          <w:rFonts w:ascii="Myriad Pro" w:hAnsi="Myriad Pro"/>
          <w:sz w:val="20"/>
          <w:szCs w:val="20"/>
        </w:rPr>
        <w:t xml:space="preserve">Experts project </w:t>
      </w:r>
      <w:r w:rsidR="00F53DD8" w:rsidRPr="00F53DD8">
        <w:rPr>
          <w:rFonts w:ascii="Myriad Pro" w:hAnsi="Myriad Pro"/>
          <w:sz w:val="20"/>
          <w:szCs w:val="20"/>
        </w:rPr>
        <w:t>66</w:t>
      </w:r>
      <w:r w:rsidRPr="00F53DD8">
        <w:rPr>
          <w:rFonts w:ascii="Myriad Pro" w:hAnsi="Myriad Pro"/>
          <w:sz w:val="20"/>
          <w:szCs w:val="20"/>
        </w:rPr>
        <w:t xml:space="preserve"> million job openings in the U</w:t>
      </w:r>
      <w:r w:rsidR="0009726F" w:rsidRPr="00F53DD8">
        <w:rPr>
          <w:rFonts w:ascii="Myriad Pro" w:hAnsi="Myriad Pro"/>
          <w:sz w:val="20"/>
          <w:szCs w:val="20"/>
        </w:rPr>
        <w:t>.</w:t>
      </w:r>
      <w:r w:rsidRPr="00F53DD8">
        <w:rPr>
          <w:rFonts w:ascii="Myriad Pro" w:hAnsi="Myriad Pro"/>
          <w:sz w:val="20"/>
          <w:szCs w:val="20"/>
        </w:rPr>
        <w:t>S</w:t>
      </w:r>
      <w:r w:rsidR="0009726F" w:rsidRPr="00F53DD8">
        <w:rPr>
          <w:rFonts w:ascii="Myriad Pro" w:hAnsi="Myriad Pro"/>
          <w:sz w:val="20"/>
          <w:szCs w:val="20"/>
        </w:rPr>
        <w:t>.</w:t>
      </w:r>
      <w:r w:rsidRPr="00F53DD8">
        <w:rPr>
          <w:rFonts w:ascii="Myriad Pro" w:hAnsi="Myriad Pro"/>
          <w:sz w:val="20"/>
          <w:szCs w:val="20"/>
        </w:rPr>
        <w:t xml:space="preserve"> </w:t>
      </w:r>
      <w:r w:rsidR="00742083" w:rsidRPr="00F53DD8">
        <w:rPr>
          <w:rFonts w:ascii="Myriad Pro" w:hAnsi="Myriad Pro"/>
          <w:sz w:val="20"/>
          <w:szCs w:val="20"/>
        </w:rPr>
        <w:t xml:space="preserve">and </w:t>
      </w:r>
      <w:r w:rsidR="00F53DD8" w:rsidRPr="00F53DD8">
        <w:rPr>
          <w:rFonts w:ascii="Myriad Pro" w:hAnsi="Myriad Pro"/>
          <w:sz w:val="20"/>
          <w:szCs w:val="20"/>
        </w:rPr>
        <w:t>901,600</w:t>
      </w:r>
      <w:r w:rsidR="00742083" w:rsidRPr="00F53DD8">
        <w:rPr>
          <w:rFonts w:ascii="Myriad Pro" w:hAnsi="Myriad Pro"/>
          <w:sz w:val="20"/>
          <w:szCs w:val="20"/>
        </w:rPr>
        <w:t xml:space="preserve"> job openings in Minnesota in the decade ending in 20</w:t>
      </w:r>
      <w:r w:rsidR="00FC3361" w:rsidRPr="00F53DD8">
        <w:rPr>
          <w:rFonts w:ascii="Myriad Pro" w:hAnsi="Myriad Pro"/>
          <w:sz w:val="20"/>
          <w:szCs w:val="20"/>
        </w:rPr>
        <w:t>2</w:t>
      </w:r>
      <w:r w:rsidR="00F53DD8" w:rsidRPr="00F53DD8">
        <w:rPr>
          <w:rFonts w:ascii="Myriad Pro" w:hAnsi="Myriad Pro"/>
          <w:sz w:val="20"/>
          <w:szCs w:val="20"/>
        </w:rPr>
        <w:t>2</w:t>
      </w:r>
      <w:r w:rsidR="00742083" w:rsidRPr="00F53DD8">
        <w:rPr>
          <w:rFonts w:ascii="Myriad Pro" w:hAnsi="Myriad Pro"/>
          <w:sz w:val="20"/>
          <w:szCs w:val="20"/>
        </w:rPr>
        <w:t>.</w:t>
      </w:r>
      <w:r w:rsidRPr="00F53DD8">
        <w:rPr>
          <w:rFonts w:ascii="Myriad Pro" w:hAnsi="Myriad Pro"/>
          <w:sz w:val="20"/>
          <w:szCs w:val="20"/>
        </w:rPr>
        <w:t xml:space="preserve"> About </w:t>
      </w:r>
      <w:r w:rsidR="00F53DD8" w:rsidRPr="00F53DD8">
        <w:rPr>
          <w:rFonts w:ascii="Myriad Pro" w:hAnsi="Myriad Pro"/>
          <w:sz w:val="20"/>
          <w:szCs w:val="20"/>
        </w:rPr>
        <w:t>12 percent</w:t>
      </w:r>
      <w:r w:rsidRPr="00F53DD8">
        <w:rPr>
          <w:rFonts w:ascii="Myriad Pro" w:hAnsi="Myriad Pro"/>
          <w:sz w:val="20"/>
          <w:szCs w:val="20"/>
        </w:rPr>
        <w:t xml:space="preserve"> will require an associate’s degree or certificate and nearly all will require real world skills that can be mastered through CTE. </w:t>
      </w:r>
      <w:r w:rsidR="00AD2EAB" w:rsidRPr="00F53DD8">
        <w:rPr>
          <w:rFonts w:ascii="Myriad Pro" w:hAnsi="Myriad Pro"/>
          <w:sz w:val="20"/>
          <w:szCs w:val="20"/>
        </w:rPr>
        <w:t xml:space="preserve"> </w:t>
      </w:r>
      <w:hyperlink r:id="rId12" w:history="1">
        <w:r w:rsidR="003C389D" w:rsidRPr="00F53DD8">
          <w:rPr>
            <w:rStyle w:val="Hyperlink"/>
            <w:rFonts w:ascii="Myriad Pro" w:hAnsi="Myriad Pro"/>
            <w:sz w:val="20"/>
            <w:szCs w:val="20"/>
          </w:rPr>
          <w:t>www.positivelyminnesota.com/apps/lmi/projections/</w:t>
        </w:r>
      </w:hyperlink>
      <w:r w:rsidR="00F64439" w:rsidRPr="00F53DD8">
        <w:rPr>
          <w:rFonts w:ascii="Myriad Pro" w:hAnsi="Myriad Pro"/>
          <w:sz w:val="20"/>
          <w:szCs w:val="20"/>
        </w:rPr>
        <w:t xml:space="preserve"> </w:t>
      </w:r>
    </w:p>
    <w:p w14:paraId="356636F2" w14:textId="77777777" w:rsidR="005E5E49" w:rsidRPr="007F6B77" w:rsidRDefault="005E5E49" w:rsidP="005E5E49">
      <w:pPr>
        <w:spacing w:after="0" w:line="240" w:lineRule="auto"/>
        <w:ind w:left="360"/>
        <w:rPr>
          <w:rFonts w:ascii="Myriad Pro" w:hAnsi="Myriad Pro"/>
        </w:rPr>
      </w:pPr>
    </w:p>
    <w:p w14:paraId="2D56C38C" w14:textId="77777777" w:rsidR="00223198" w:rsidRDefault="00752E2C" w:rsidP="00E2596C">
      <w:pPr>
        <w:spacing w:after="0" w:line="240" w:lineRule="auto"/>
        <w:rPr>
          <w:rFonts w:ascii="Myriad Pro" w:hAnsi="Myriad Pro"/>
          <w:color w:val="009AA6"/>
        </w:rPr>
      </w:pPr>
      <w:r w:rsidRPr="00E85A31">
        <w:rPr>
          <w:rStyle w:val="IntenseEmphasis"/>
          <w:rFonts w:ascii="Myriad Pro" w:hAnsi="Myriad Pro"/>
          <w:i w:val="0"/>
          <w:color w:val="009AA6"/>
        </w:rPr>
        <w:t>Perkins funding</w:t>
      </w:r>
    </w:p>
    <w:p w14:paraId="74989F55" w14:textId="7E1248AE" w:rsidR="00752E2C" w:rsidRPr="001A7C9D" w:rsidRDefault="00752E2C" w:rsidP="00E2596C">
      <w:pPr>
        <w:spacing w:after="0" w:line="240" w:lineRule="auto"/>
        <w:rPr>
          <w:rFonts w:ascii="Myriad Pro" w:hAnsi="Myriad Pro"/>
          <w:sz w:val="20"/>
          <w:szCs w:val="20"/>
        </w:rPr>
      </w:pPr>
      <w:r w:rsidRPr="001A7C9D">
        <w:rPr>
          <w:rFonts w:ascii="Myriad Pro" w:hAnsi="Myriad Pro"/>
          <w:sz w:val="20"/>
          <w:szCs w:val="20"/>
        </w:rPr>
        <w:t>The FY1</w:t>
      </w:r>
      <w:r w:rsidR="008F1789">
        <w:rPr>
          <w:rFonts w:ascii="Myriad Pro" w:hAnsi="Myriad Pro"/>
          <w:sz w:val="20"/>
          <w:szCs w:val="20"/>
        </w:rPr>
        <w:t>5</w:t>
      </w:r>
      <w:r w:rsidRPr="001A7C9D">
        <w:rPr>
          <w:rFonts w:ascii="Myriad Pro" w:hAnsi="Myriad Pro"/>
          <w:sz w:val="20"/>
          <w:szCs w:val="20"/>
        </w:rPr>
        <w:t xml:space="preserve"> Carl D. Perkins Career and Technical Education Act award to MN totals </w:t>
      </w:r>
      <w:r w:rsidR="00556B64" w:rsidRPr="001A7C9D">
        <w:rPr>
          <w:rFonts w:ascii="Myriad Pro" w:hAnsi="Myriad Pro" w:cs="Arial"/>
          <w:sz w:val="20"/>
          <w:szCs w:val="20"/>
        </w:rPr>
        <w:t xml:space="preserve">$16,684,637 </w:t>
      </w:r>
      <w:r w:rsidR="00556B64" w:rsidRPr="001A7C9D">
        <w:rPr>
          <w:rFonts w:ascii="Myriad Pro" w:hAnsi="Myriad Pro"/>
          <w:sz w:val="20"/>
          <w:szCs w:val="20"/>
        </w:rPr>
        <w:t>or</w:t>
      </w:r>
      <w:r w:rsidRPr="001A7C9D">
        <w:rPr>
          <w:rFonts w:ascii="Myriad Pro" w:hAnsi="Myriad Pro"/>
          <w:sz w:val="20"/>
          <w:szCs w:val="20"/>
        </w:rPr>
        <w:t xml:space="preserve"> almost $17 million. Of that $14.</w:t>
      </w:r>
      <w:r w:rsidR="00556B64" w:rsidRPr="001A7C9D">
        <w:rPr>
          <w:rFonts w:ascii="Myriad Pro" w:hAnsi="Myriad Pro"/>
          <w:sz w:val="20"/>
          <w:szCs w:val="20"/>
        </w:rPr>
        <w:t>2</w:t>
      </w:r>
      <w:r w:rsidRPr="001A7C9D">
        <w:rPr>
          <w:rFonts w:ascii="Myriad Pro" w:hAnsi="Myriad Pro"/>
          <w:sz w:val="20"/>
          <w:szCs w:val="20"/>
        </w:rPr>
        <w:t xml:space="preserve"> million goes to 26 local consortia of public colleges and high schools to benefit all members of the consortium. ($8.</w:t>
      </w:r>
      <w:r w:rsidR="00556B64" w:rsidRPr="001A7C9D">
        <w:rPr>
          <w:rFonts w:ascii="Myriad Pro" w:hAnsi="Myriad Pro"/>
          <w:sz w:val="20"/>
          <w:szCs w:val="20"/>
        </w:rPr>
        <w:t>2</w:t>
      </w:r>
      <w:r w:rsidRPr="001A7C9D">
        <w:rPr>
          <w:rFonts w:ascii="Myriad Pro" w:hAnsi="Myriad Pro"/>
          <w:sz w:val="20"/>
          <w:szCs w:val="20"/>
        </w:rPr>
        <w:t xml:space="preserve"> million is allocated on the basis of college Pell grant recipients</w:t>
      </w:r>
      <w:r w:rsidR="00742083" w:rsidRPr="001A7C9D">
        <w:rPr>
          <w:rFonts w:ascii="Myriad Pro" w:hAnsi="Myriad Pro"/>
          <w:sz w:val="20"/>
          <w:szCs w:val="20"/>
        </w:rPr>
        <w:t xml:space="preserve"> and $6 million on the basis of population of 5-17 year olds within a consortium and the percentage of those 5-17 year olds in households of poverty</w:t>
      </w:r>
      <w:r w:rsidRPr="001A7C9D">
        <w:rPr>
          <w:rFonts w:ascii="Myriad Pro" w:hAnsi="Myriad Pro"/>
          <w:sz w:val="20"/>
          <w:szCs w:val="20"/>
        </w:rPr>
        <w:t>.)</w:t>
      </w:r>
      <w:r w:rsidR="007C7AAB" w:rsidRPr="001A7C9D">
        <w:rPr>
          <w:rFonts w:ascii="Myriad Pro" w:hAnsi="Myriad Pro"/>
          <w:sz w:val="20"/>
          <w:szCs w:val="20"/>
        </w:rPr>
        <w:t xml:space="preserve"> Of the $14.</w:t>
      </w:r>
      <w:r w:rsidR="00556B64" w:rsidRPr="001A7C9D">
        <w:rPr>
          <w:rFonts w:ascii="Myriad Pro" w:hAnsi="Myriad Pro"/>
          <w:sz w:val="20"/>
          <w:szCs w:val="20"/>
        </w:rPr>
        <w:t>2</w:t>
      </w:r>
      <w:r w:rsidR="007C7AAB" w:rsidRPr="001A7C9D">
        <w:rPr>
          <w:rFonts w:ascii="Myriad Pro" w:hAnsi="Myriad Pro"/>
          <w:sz w:val="20"/>
          <w:szCs w:val="20"/>
        </w:rPr>
        <w:t xml:space="preserve"> million to local consortia, $1.4 million </w:t>
      </w:r>
      <w:r w:rsidR="00C03210">
        <w:rPr>
          <w:rFonts w:ascii="Myriad Pro" w:hAnsi="Myriad Pro"/>
          <w:sz w:val="20"/>
          <w:szCs w:val="20"/>
        </w:rPr>
        <w:t>is</w:t>
      </w:r>
      <w:r w:rsidR="007C7AAB" w:rsidRPr="001A7C9D">
        <w:rPr>
          <w:rFonts w:ascii="Myriad Pro" w:hAnsi="Myriad Pro"/>
          <w:sz w:val="20"/>
          <w:szCs w:val="20"/>
        </w:rPr>
        <w:t xml:space="preserve"> reserved to benefit rural students and/or high participation programs.</w:t>
      </w:r>
    </w:p>
    <w:p w14:paraId="1E25790A" w14:textId="77777777" w:rsidR="005E5E49" w:rsidRPr="007F6B77" w:rsidRDefault="005E5E49" w:rsidP="005E5E49">
      <w:pPr>
        <w:spacing w:after="0" w:line="240" w:lineRule="auto"/>
        <w:rPr>
          <w:rFonts w:ascii="Myriad Pro" w:hAnsi="Myriad Pro"/>
        </w:rPr>
      </w:pPr>
    </w:p>
    <w:p w14:paraId="1EA14389" w14:textId="77777777" w:rsidR="00093FE0" w:rsidRDefault="00C8229F" w:rsidP="005E5E49">
      <w:pPr>
        <w:spacing w:after="0" w:line="240" w:lineRule="auto"/>
        <w:rPr>
          <w:rFonts w:ascii="Myriad Pro" w:hAnsi="Myriad Pro"/>
          <w:color w:val="009AA6"/>
        </w:rPr>
      </w:pPr>
      <w:r>
        <w:rPr>
          <w:rStyle w:val="IntenseEmphasis"/>
          <w:rFonts w:ascii="Myriad Pro" w:hAnsi="Myriad Pro"/>
          <w:i w:val="0"/>
          <w:color w:val="009AA6"/>
        </w:rPr>
        <w:t>Programs of Study</w:t>
      </w:r>
    </w:p>
    <w:p w14:paraId="2BA89C83" w14:textId="77777777" w:rsidR="00752E2C" w:rsidRDefault="00005CBA" w:rsidP="005E5E49">
      <w:pPr>
        <w:spacing w:after="0" w:line="240" w:lineRule="auto"/>
        <w:rPr>
          <w:rFonts w:ascii="Myriad Pro" w:hAnsi="Myriad Pro"/>
          <w:sz w:val="20"/>
          <w:szCs w:val="20"/>
        </w:rPr>
      </w:pPr>
      <w:r w:rsidRPr="001A7C9D">
        <w:rPr>
          <w:rFonts w:ascii="Myriad Pro" w:hAnsi="Myriad Pro"/>
          <w:sz w:val="20"/>
          <w:szCs w:val="20"/>
        </w:rPr>
        <w:t>Local consortia across Minnesota have created programs of study in career pathways that identify courses for students to take in high school, transitions to postsecondary education, occupations within a career pathway, industry certifications</w:t>
      </w:r>
      <w:r w:rsidR="00411F25" w:rsidRPr="001A7C9D">
        <w:rPr>
          <w:rFonts w:ascii="Myriad Pro" w:hAnsi="Myriad Pro"/>
          <w:sz w:val="20"/>
          <w:szCs w:val="20"/>
        </w:rPr>
        <w:t xml:space="preserve">, </w:t>
      </w:r>
      <w:r w:rsidR="005E5E49" w:rsidRPr="001A7C9D">
        <w:rPr>
          <w:rFonts w:ascii="Myriad Pro" w:hAnsi="Myriad Pro"/>
          <w:sz w:val="20"/>
          <w:szCs w:val="20"/>
        </w:rPr>
        <w:t xml:space="preserve">and </w:t>
      </w:r>
      <w:r w:rsidR="00411F25" w:rsidRPr="001A7C9D">
        <w:rPr>
          <w:rFonts w:ascii="Myriad Pro" w:hAnsi="Myriad Pro"/>
          <w:sz w:val="20"/>
          <w:szCs w:val="20"/>
        </w:rPr>
        <w:t>opportunities for dual or concurrent enroll</w:t>
      </w:r>
      <w:r w:rsidR="00380438">
        <w:rPr>
          <w:rFonts w:ascii="Myriad Pro" w:hAnsi="Myriad Pro"/>
          <w:sz w:val="20"/>
          <w:szCs w:val="20"/>
        </w:rPr>
        <w:t xml:space="preserve">ment in high school and college. Visit </w:t>
      </w:r>
      <w:hyperlink r:id="rId13" w:history="1">
        <w:r w:rsidR="005E5E49" w:rsidRPr="001A7C9D">
          <w:rPr>
            <w:rStyle w:val="Hyperlink"/>
            <w:rFonts w:ascii="Myriad Pro" w:hAnsi="Myriad Pro"/>
            <w:sz w:val="20"/>
            <w:szCs w:val="20"/>
          </w:rPr>
          <w:t>www.MNProgramsofStudy.org</w:t>
        </w:r>
      </w:hyperlink>
      <w:r w:rsidR="005E5E49" w:rsidRPr="001A7C9D">
        <w:rPr>
          <w:rFonts w:ascii="Myriad Pro" w:hAnsi="Myriad Pro"/>
          <w:sz w:val="20"/>
          <w:szCs w:val="20"/>
        </w:rPr>
        <w:t xml:space="preserve"> </w:t>
      </w:r>
    </w:p>
    <w:p w14:paraId="7E891AD6" w14:textId="77777777" w:rsidR="00FC3361" w:rsidRDefault="00FC3361" w:rsidP="005E5E49">
      <w:pPr>
        <w:spacing w:after="0" w:line="240" w:lineRule="auto"/>
        <w:rPr>
          <w:rFonts w:ascii="Myriad Pro" w:hAnsi="Myriad Pro"/>
          <w:sz w:val="20"/>
          <w:szCs w:val="20"/>
        </w:rPr>
      </w:pPr>
    </w:p>
    <w:p w14:paraId="6CD78E5B" w14:textId="77777777" w:rsidR="00FC3361" w:rsidRDefault="00FC3361" w:rsidP="00FC3361">
      <w:pPr>
        <w:spacing w:after="0" w:line="240" w:lineRule="auto"/>
        <w:rPr>
          <w:rStyle w:val="IntenseEmphasis"/>
          <w:rFonts w:ascii="Myriad Pro" w:hAnsi="Myriad Pro"/>
          <w:i w:val="0"/>
          <w:color w:val="009AA6"/>
        </w:rPr>
      </w:pPr>
      <w:r>
        <w:rPr>
          <w:rStyle w:val="IntenseEmphasis"/>
          <w:rFonts w:ascii="Myriad Pro" w:hAnsi="Myriad Pro"/>
          <w:i w:val="0"/>
          <w:color w:val="009AA6"/>
        </w:rPr>
        <w:t>Pathways to Postsecondary Summits</w:t>
      </w:r>
    </w:p>
    <w:p w14:paraId="247D3AC3" w14:textId="14AE5465" w:rsidR="00DD178F" w:rsidRDefault="00DD178F" w:rsidP="00FC3361">
      <w:pPr>
        <w:spacing w:before="120"/>
        <w:rPr>
          <w:rStyle w:val="Strong"/>
          <w:rFonts w:ascii="Arial" w:hAnsi="Arial" w:cs="Arial"/>
          <w:color w:val="000000"/>
          <w:highlight w:val="yellow"/>
          <w:shd w:val="clear" w:color="auto" w:fill="FFFF00"/>
        </w:rPr>
      </w:pPr>
      <w:r>
        <w:rPr>
          <w:rFonts w:ascii="Myriad Pro" w:hAnsi="Myriad Pro"/>
          <w:sz w:val="20"/>
          <w:szCs w:val="20"/>
        </w:rPr>
        <w:t xml:space="preserve">The Minnesota Department of Education and Minnesota State Colleges and Universities crisscrossed the state in </w:t>
      </w:r>
      <w:r w:rsidR="008F1789">
        <w:rPr>
          <w:rFonts w:ascii="Myriad Pro" w:hAnsi="Myriad Pro"/>
          <w:sz w:val="20"/>
          <w:szCs w:val="20"/>
        </w:rPr>
        <w:t>October</w:t>
      </w:r>
      <w:r>
        <w:rPr>
          <w:rFonts w:ascii="Myriad Pro" w:hAnsi="Myriad Pro"/>
          <w:sz w:val="20"/>
          <w:szCs w:val="20"/>
        </w:rPr>
        <w:t xml:space="preserve">, 2014 </w:t>
      </w:r>
      <w:r w:rsidR="008F1789">
        <w:rPr>
          <w:rFonts w:ascii="Myriad Pro" w:hAnsi="Myriad Pro"/>
          <w:sz w:val="20"/>
          <w:szCs w:val="20"/>
        </w:rPr>
        <w:t xml:space="preserve">through February, 2015 </w:t>
      </w:r>
      <w:r>
        <w:rPr>
          <w:rFonts w:ascii="Myriad Pro" w:hAnsi="Myriad Pro"/>
          <w:sz w:val="20"/>
          <w:szCs w:val="20"/>
        </w:rPr>
        <w:t>to host regional summits engaging secondary and postsecondary teams</w:t>
      </w:r>
      <w:r w:rsidRPr="0049035B">
        <w:rPr>
          <w:rFonts w:ascii="Myriad Pro" w:hAnsi="Myriad Pro"/>
          <w:sz w:val="20"/>
          <w:szCs w:val="20"/>
        </w:rPr>
        <w:t xml:space="preserve">. </w:t>
      </w:r>
      <w:r w:rsidR="0049035B" w:rsidRPr="0049035B">
        <w:rPr>
          <w:rFonts w:ascii="Myriad Pro" w:hAnsi="Myriad Pro"/>
          <w:sz w:val="20"/>
          <w:szCs w:val="20"/>
        </w:rPr>
        <w:t xml:space="preserve">A total of </w:t>
      </w:r>
      <w:r w:rsidR="0049035B">
        <w:rPr>
          <w:rFonts w:ascii="Myriad Pro" w:hAnsi="Myriad Pro"/>
          <w:sz w:val="20"/>
          <w:szCs w:val="20"/>
        </w:rPr>
        <w:t>846</w:t>
      </w:r>
      <w:r>
        <w:rPr>
          <w:rFonts w:ascii="Myriad Pro" w:hAnsi="Myriad Pro"/>
          <w:sz w:val="20"/>
          <w:szCs w:val="20"/>
        </w:rPr>
        <w:t xml:space="preserve"> superintendents, principals, teachers, counselors, college presidents and faculty gathered to deepen common understandings of newly-enacted legislation, examine workforce trends and explore opportunities for new or expanded partnerships between educational systems that will better prepare our continuum of learners to be career and college ready.</w:t>
      </w:r>
    </w:p>
    <w:p w14:paraId="14ED1F2B" w14:textId="77777777" w:rsidR="00FC3361" w:rsidRPr="001A7C9D" w:rsidRDefault="00FC3361" w:rsidP="00FC3361">
      <w:pPr>
        <w:spacing w:after="0" w:line="240" w:lineRule="auto"/>
        <w:rPr>
          <w:rFonts w:ascii="Myriad Pro" w:hAnsi="Myriad Pro"/>
          <w:sz w:val="20"/>
          <w:szCs w:val="20"/>
        </w:rPr>
      </w:pPr>
    </w:p>
    <w:sectPr w:rsidR="00FC3361" w:rsidRPr="001A7C9D" w:rsidSect="007C7AAB">
      <w:headerReference w:type="default"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39217" w14:textId="77777777" w:rsidR="003C389D" w:rsidRDefault="003C389D" w:rsidP="00762EE9">
      <w:pPr>
        <w:spacing w:after="0" w:line="240" w:lineRule="auto"/>
      </w:pPr>
      <w:r>
        <w:separator/>
      </w:r>
    </w:p>
  </w:endnote>
  <w:endnote w:type="continuationSeparator" w:id="0">
    <w:p w14:paraId="409A8AF0" w14:textId="77777777" w:rsidR="003C389D" w:rsidRDefault="003C389D" w:rsidP="0076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A02CD" w14:textId="71C5D78D" w:rsidR="003C389D" w:rsidRPr="00D50CD0" w:rsidRDefault="003C389D">
    <w:pPr>
      <w:pStyle w:val="Footer"/>
      <w:rPr>
        <w:rFonts w:ascii="Myriad Pro" w:hAnsi="Myriad Pro"/>
        <w:sz w:val="18"/>
        <w:szCs w:val="18"/>
      </w:rPr>
    </w:pPr>
    <w:r w:rsidRPr="00D50CD0">
      <w:rPr>
        <w:rFonts w:ascii="Myriad Pro" w:hAnsi="Myriad Pro"/>
        <w:sz w:val="18"/>
        <w:szCs w:val="18"/>
      </w:rPr>
      <w:t xml:space="preserve">Contact: JoAnn Simser, State CTE Director, </w:t>
    </w:r>
    <w:hyperlink r:id="rId1" w:history="1">
      <w:r w:rsidR="00FA6C71" w:rsidRPr="00B3128A">
        <w:rPr>
          <w:rStyle w:val="Hyperlink"/>
          <w:rFonts w:ascii="Myriad Pro" w:hAnsi="Myriad Pro"/>
          <w:sz w:val="18"/>
          <w:szCs w:val="18"/>
        </w:rPr>
        <w:t>joann.simser@so.mnscu.edu</w:t>
      </w:r>
    </w:hyperlink>
    <w:r w:rsidR="00FA6C71">
      <w:rPr>
        <w:rFonts w:ascii="Myriad Pro" w:hAnsi="Myriad Pro"/>
        <w:sz w:val="18"/>
        <w:szCs w:val="18"/>
      </w:rPr>
      <w:t xml:space="preserve">, </w:t>
    </w:r>
    <w:hyperlink r:id="rId2" w:history="1">
      <w:r w:rsidR="00FA6C71" w:rsidRPr="00B3128A">
        <w:rPr>
          <w:rStyle w:val="Hyperlink"/>
          <w:rFonts w:ascii="Myriad Pro" w:hAnsi="Myriad Pro"/>
          <w:sz w:val="18"/>
          <w:szCs w:val="18"/>
        </w:rPr>
        <w:t>www.cte.mnscu.edu</w:t>
      </w:r>
    </w:hyperlink>
    <w:r w:rsidR="00FA6C71" w:rsidRPr="00FA6C71">
      <w:rPr>
        <w:sz w:val="18"/>
        <w:szCs w:val="18"/>
      </w:rPr>
      <w:t xml:space="preserve"> </w:t>
    </w:r>
    <w:r w:rsidR="00FA6C71">
      <w:rPr>
        <w:sz w:val="18"/>
        <w:szCs w:val="18"/>
      </w:rPr>
      <w:t xml:space="preserve">              </w:t>
    </w:r>
    <w:r w:rsidR="00FA6C71">
      <w:rPr>
        <w:sz w:val="18"/>
        <w:szCs w:val="18"/>
      </w:rPr>
      <w:t xml:space="preserve">Revised: 2/20/15        </w:t>
    </w:r>
    <w:r w:rsidR="00FA6C71">
      <w:rPr>
        <w:sz w:val="18"/>
        <w:szCs w:val="18"/>
      </w:rPr>
      <w:tab/>
    </w:r>
    <w:r w:rsidR="00FA6C71" w:rsidRPr="00762EE9">
      <w:rPr>
        <w:sz w:val="18"/>
        <w:szCs w:val="18"/>
      </w:rPr>
      <w:t xml:space="preserve">Page </w:t>
    </w:r>
    <w:r w:rsidR="00FA6C71" w:rsidRPr="00762EE9">
      <w:rPr>
        <w:sz w:val="18"/>
        <w:szCs w:val="18"/>
      </w:rPr>
      <w:fldChar w:fldCharType="begin"/>
    </w:r>
    <w:r w:rsidR="00FA6C71" w:rsidRPr="00762EE9">
      <w:rPr>
        <w:sz w:val="18"/>
        <w:szCs w:val="18"/>
      </w:rPr>
      <w:instrText xml:space="preserve"> PAGE   \* MERGEFORMAT </w:instrText>
    </w:r>
    <w:r w:rsidR="00FA6C71" w:rsidRPr="00762EE9">
      <w:rPr>
        <w:sz w:val="18"/>
        <w:szCs w:val="18"/>
      </w:rPr>
      <w:fldChar w:fldCharType="separate"/>
    </w:r>
    <w:r w:rsidR="00271BAC">
      <w:rPr>
        <w:noProof/>
        <w:sz w:val="18"/>
        <w:szCs w:val="18"/>
      </w:rPr>
      <w:t>1</w:t>
    </w:r>
    <w:r w:rsidR="00FA6C71" w:rsidRPr="00762EE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17E74" w14:textId="77777777" w:rsidR="003C389D" w:rsidRDefault="003C389D" w:rsidP="00762EE9">
      <w:pPr>
        <w:spacing w:after="0" w:line="240" w:lineRule="auto"/>
      </w:pPr>
      <w:r>
        <w:separator/>
      </w:r>
    </w:p>
  </w:footnote>
  <w:footnote w:type="continuationSeparator" w:id="0">
    <w:p w14:paraId="66F791BF" w14:textId="77777777" w:rsidR="003C389D" w:rsidRDefault="003C389D" w:rsidP="00762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B550" w14:textId="77777777" w:rsidR="003C389D" w:rsidRDefault="003C389D" w:rsidP="00EC2CBF">
    <w:pPr>
      <w:pStyle w:val="Heading1"/>
      <w:spacing w:before="120" w:after="0"/>
    </w:pPr>
  </w:p>
  <w:p w14:paraId="095D68ED" w14:textId="77777777" w:rsidR="003C389D" w:rsidRDefault="003C3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7A0"/>
    <w:multiLevelType w:val="hybridMultilevel"/>
    <w:tmpl w:val="EC8E87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E1F71"/>
    <w:multiLevelType w:val="hybridMultilevel"/>
    <w:tmpl w:val="BADE5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4A3F55"/>
    <w:multiLevelType w:val="hybridMultilevel"/>
    <w:tmpl w:val="50763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A66895"/>
    <w:multiLevelType w:val="hybridMultilevel"/>
    <w:tmpl w:val="B752321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4">
    <w:nsid w:val="2553167E"/>
    <w:multiLevelType w:val="hybridMultilevel"/>
    <w:tmpl w:val="29DC68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4B3418"/>
    <w:multiLevelType w:val="hybridMultilevel"/>
    <w:tmpl w:val="8BF2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96030"/>
    <w:multiLevelType w:val="hybridMultilevel"/>
    <w:tmpl w:val="D6B2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936E3"/>
    <w:multiLevelType w:val="hybridMultilevel"/>
    <w:tmpl w:val="C1E873B0"/>
    <w:lvl w:ilvl="0" w:tplc="C37862C0">
      <w:start w:val="1"/>
      <w:numFmt w:val="bullet"/>
      <w:pStyle w:val="Heading1Char"/>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6E58F3"/>
    <w:multiLevelType w:val="hybridMultilevel"/>
    <w:tmpl w:val="3EC0CC8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4B400B"/>
    <w:multiLevelType w:val="hybridMultilevel"/>
    <w:tmpl w:val="2A7EB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E497353"/>
    <w:multiLevelType w:val="hybridMultilevel"/>
    <w:tmpl w:val="D06E9134"/>
    <w:lvl w:ilvl="0" w:tplc="C3620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4D5DBA"/>
    <w:multiLevelType w:val="hybridMultilevel"/>
    <w:tmpl w:val="CA28F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7272A7"/>
    <w:multiLevelType w:val="hybridMultilevel"/>
    <w:tmpl w:val="A34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0B2FE5"/>
    <w:multiLevelType w:val="hybridMultilevel"/>
    <w:tmpl w:val="206A0C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13"/>
  </w:num>
  <w:num w:numId="5">
    <w:abstractNumId w:val="10"/>
  </w:num>
  <w:num w:numId="6">
    <w:abstractNumId w:val="12"/>
  </w:num>
  <w:num w:numId="7">
    <w:abstractNumId w:val="0"/>
  </w:num>
  <w:num w:numId="8">
    <w:abstractNumId w:val="6"/>
  </w:num>
  <w:num w:numId="9">
    <w:abstractNumId w:val="1"/>
  </w:num>
  <w:num w:numId="10">
    <w:abstractNumId w:val="11"/>
  </w:num>
  <w:num w:numId="11">
    <w:abstractNumId w:val="8"/>
  </w:num>
  <w:num w:numId="12">
    <w:abstractNumId w:val="7"/>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55"/>
    <w:rsid w:val="00005CBA"/>
    <w:rsid w:val="00022D50"/>
    <w:rsid w:val="0002665A"/>
    <w:rsid w:val="00072DFF"/>
    <w:rsid w:val="000771A1"/>
    <w:rsid w:val="00092739"/>
    <w:rsid w:val="00093FE0"/>
    <w:rsid w:val="0009726F"/>
    <w:rsid w:val="00097674"/>
    <w:rsid w:val="000C77A0"/>
    <w:rsid w:val="000E3807"/>
    <w:rsid w:val="0010279D"/>
    <w:rsid w:val="00173563"/>
    <w:rsid w:val="0017540B"/>
    <w:rsid w:val="001A7C9D"/>
    <w:rsid w:val="001C3274"/>
    <w:rsid w:val="001D7791"/>
    <w:rsid w:val="001E1081"/>
    <w:rsid w:val="0020211B"/>
    <w:rsid w:val="00223198"/>
    <w:rsid w:val="0022656F"/>
    <w:rsid w:val="00253A90"/>
    <w:rsid w:val="00271BAC"/>
    <w:rsid w:val="0027236D"/>
    <w:rsid w:val="0029626B"/>
    <w:rsid w:val="002A3EF1"/>
    <w:rsid w:val="002B5760"/>
    <w:rsid w:val="002D1926"/>
    <w:rsid w:val="002D658F"/>
    <w:rsid w:val="002F16B5"/>
    <w:rsid w:val="00310BC4"/>
    <w:rsid w:val="0031240B"/>
    <w:rsid w:val="003134EB"/>
    <w:rsid w:val="00320F42"/>
    <w:rsid w:val="003406DC"/>
    <w:rsid w:val="00370D3F"/>
    <w:rsid w:val="00374C35"/>
    <w:rsid w:val="00380438"/>
    <w:rsid w:val="003A65D5"/>
    <w:rsid w:val="003C3044"/>
    <w:rsid w:val="003C389D"/>
    <w:rsid w:val="00411F25"/>
    <w:rsid w:val="00413107"/>
    <w:rsid w:val="00423AE4"/>
    <w:rsid w:val="00433DC3"/>
    <w:rsid w:val="004633CD"/>
    <w:rsid w:val="0049035B"/>
    <w:rsid w:val="004A3C35"/>
    <w:rsid w:val="004B119C"/>
    <w:rsid w:val="0051425D"/>
    <w:rsid w:val="00524F70"/>
    <w:rsid w:val="005414E9"/>
    <w:rsid w:val="00543277"/>
    <w:rsid w:val="00556B64"/>
    <w:rsid w:val="005655B3"/>
    <w:rsid w:val="00592D55"/>
    <w:rsid w:val="005A1D97"/>
    <w:rsid w:val="005A48F0"/>
    <w:rsid w:val="005E5E49"/>
    <w:rsid w:val="00640F24"/>
    <w:rsid w:val="00662575"/>
    <w:rsid w:val="006A7AE1"/>
    <w:rsid w:val="006C1E5D"/>
    <w:rsid w:val="006C7993"/>
    <w:rsid w:val="006F66F3"/>
    <w:rsid w:val="00742083"/>
    <w:rsid w:val="00752E2C"/>
    <w:rsid w:val="00762EE9"/>
    <w:rsid w:val="007B7F36"/>
    <w:rsid w:val="007C7AAB"/>
    <w:rsid w:val="007D2B08"/>
    <w:rsid w:val="007F6B77"/>
    <w:rsid w:val="00845FCA"/>
    <w:rsid w:val="00896DD4"/>
    <w:rsid w:val="008A6957"/>
    <w:rsid w:val="008C1DBE"/>
    <w:rsid w:val="008F1789"/>
    <w:rsid w:val="00924FA5"/>
    <w:rsid w:val="009A5FCA"/>
    <w:rsid w:val="009C2D38"/>
    <w:rsid w:val="009D1964"/>
    <w:rsid w:val="009F582D"/>
    <w:rsid w:val="00A5038F"/>
    <w:rsid w:val="00A61C05"/>
    <w:rsid w:val="00A73EFF"/>
    <w:rsid w:val="00A87015"/>
    <w:rsid w:val="00AD2EAB"/>
    <w:rsid w:val="00B71B83"/>
    <w:rsid w:val="00B9453A"/>
    <w:rsid w:val="00BF45DA"/>
    <w:rsid w:val="00C03210"/>
    <w:rsid w:val="00C76D55"/>
    <w:rsid w:val="00C8229F"/>
    <w:rsid w:val="00C96462"/>
    <w:rsid w:val="00D50CD0"/>
    <w:rsid w:val="00D50E71"/>
    <w:rsid w:val="00D532DE"/>
    <w:rsid w:val="00D87C9E"/>
    <w:rsid w:val="00DD178F"/>
    <w:rsid w:val="00DE3664"/>
    <w:rsid w:val="00E12D6F"/>
    <w:rsid w:val="00E15B4A"/>
    <w:rsid w:val="00E24923"/>
    <w:rsid w:val="00E2596C"/>
    <w:rsid w:val="00E365FB"/>
    <w:rsid w:val="00E56CDA"/>
    <w:rsid w:val="00E704BE"/>
    <w:rsid w:val="00E84D3B"/>
    <w:rsid w:val="00E85A31"/>
    <w:rsid w:val="00EB2683"/>
    <w:rsid w:val="00EC2CBF"/>
    <w:rsid w:val="00EC3A6F"/>
    <w:rsid w:val="00F4646B"/>
    <w:rsid w:val="00F53DD8"/>
    <w:rsid w:val="00F64439"/>
    <w:rsid w:val="00F75943"/>
    <w:rsid w:val="00FA6C71"/>
    <w:rsid w:val="00FB1ECE"/>
    <w:rsid w:val="00FC3361"/>
    <w:rsid w:val="00FE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B9AA10"/>
  <w15:docId w15:val="{A92DD1C3-F43D-42A5-8501-3DB400F8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943"/>
    <w:pPr>
      <w:spacing w:after="200" w:line="276" w:lineRule="auto"/>
    </w:pPr>
    <w:rPr>
      <w:sz w:val="22"/>
      <w:szCs w:val="22"/>
    </w:rPr>
  </w:style>
  <w:style w:type="paragraph" w:styleId="Heading1">
    <w:name w:val="heading 1"/>
    <w:basedOn w:val="Normal"/>
    <w:next w:val="Normal"/>
    <w:link w:val="Heading1Char"/>
    <w:uiPriority w:val="9"/>
    <w:qFormat/>
    <w:rsid w:val="0009767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9767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752E2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E56CD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DE3664"/>
    <w:rPr>
      <w:b/>
      <w:bCs/>
      <w:i/>
      <w:iCs/>
      <w:color w:val="4F81BD"/>
    </w:rPr>
  </w:style>
  <w:style w:type="character" w:customStyle="1" w:styleId="Heading1Char">
    <w:name w:val="Heading 1 Char"/>
    <w:link w:val="Heading1"/>
    <w:uiPriority w:val="9"/>
    <w:rsid w:val="00097674"/>
    <w:rPr>
      <w:rFonts w:ascii="Cambria" w:eastAsia="Times New Roman" w:hAnsi="Cambria" w:cs="Times New Roman"/>
      <w:b/>
      <w:bCs/>
      <w:kern w:val="32"/>
      <w:sz w:val="32"/>
      <w:szCs w:val="32"/>
    </w:rPr>
  </w:style>
  <w:style w:type="character" w:customStyle="1" w:styleId="Heading2Char">
    <w:name w:val="Heading 2 Char"/>
    <w:link w:val="Heading2"/>
    <w:uiPriority w:val="9"/>
    <w:rsid w:val="00097674"/>
    <w:rPr>
      <w:rFonts w:ascii="Cambria" w:eastAsia="Times New Roman" w:hAnsi="Cambria" w:cs="Times New Roman"/>
      <w:b/>
      <w:bCs/>
      <w:i/>
      <w:iCs/>
      <w:sz w:val="28"/>
      <w:szCs w:val="28"/>
    </w:rPr>
  </w:style>
  <w:style w:type="character" w:styleId="Hyperlink">
    <w:name w:val="Hyperlink"/>
    <w:uiPriority w:val="99"/>
    <w:unhideWhenUsed/>
    <w:rsid w:val="000771A1"/>
    <w:rPr>
      <w:color w:val="0000FF"/>
      <w:u w:val="single"/>
    </w:rPr>
  </w:style>
  <w:style w:type="paragraph" w:styleId="NoSpacing">
    <w:name w:val="No Spacing"/>
    <w:uiPriority w:val="1"/>
    <w:qFormat/>
    <w:rsid w:val="002D1926"/>
    <w:rPr>
      <w:sz w:val="22"/>
      <w:szCs w:val="22"/>
    </w:rPr>
  </w:style>
  <w:style w:type="character" w:customStyle="1" w:styleId="Heading3Char">
    <w:name w:val="Heading 3 Char"/>
    <w:link w:val="Heading3"/>
    <w:uiPriority w:val="9"/>
    <w:rsid w:val="00752E2C"/>
    <w:rPr>
      <w:rFonts w:ascii="Cambria" w:eastAsia="Times New Roman" w:hAnsi="Cambria" w:cs="Times New Roman"/>
      <w:b/>
      <w:bCs/>
      <w:sz w:val="26"/>
      <w:szCs w:val="26"/>
    </w:rPr>
  </w:style>
  <w:style w:type="character" w:customStyle="1" w:styleId="Heading4Char">
    <w:name w:val="Heading 4 Char"/>
    <w:link w:val="Heading4"/>
    <w:uiPriority w:val="9"/>
    <w:rsid w:val="00E56CDA"/>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62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575"/>
    <w:rPr>
      <w:rFonts w:ascii="Tahoma" w:hAnsi="Tahoma" w:cs="Tahoma"/>
      <w:sz w:val="16"/>
      <w:szCs w:val="16"/>
    </w:rPr>
  </w:style>
  <w:style w:type="paragraph" w:styleId="Header">
    <w:name w:val="header"/>
    <w:basedOn w:val="Normal"/>
    <w:link w:val="HeaderChar"/>
    <w:uiPriority w:val="99"/>
    <w:unhideWhenUsed/>
    <w:rsid w:val="00762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EE9"/>
    <w:rPr>
      <w:sz w:val="22"/>
      <w:szCs w:val="22"/>
    </w:rPr>
  </w:style>
  <w:style w:type="paragraph" w:styleId="Footer">
    <w:name w:val="footer"/>
    <w:basedOn w:val="Normal"/>
    <w:link w:val="FooterChar"/>
    <w:uiPriority w:val="99"/>
    <w:unhideWhenUsed/>
    <w:rsid w:val="00762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EE9"/>
    <w:rPr>
      <w:sz w:val="22"/>
      <w:szCs w:val="22"/>
    </w:rPr>
  </w:style>
  <w:style w:type="character" w:styleId="CommentReference">
    <w:name w:val="annotation reference"/>
    <w:basedOn w:val="DefaultParagraphFont"/>
    <w:uiPriority w:val="99"/>
    <w:semiHidden/>
    <w:unhideWhenUsed/>
    <w:rsid w:val="00AD2EAB"/>
    <w:rPr>
      <w:sz w:val="16"/>
      <w:szCs w:val="16"/>
    </w:rPr>
  </w:style>
  <w:style w:type="paragraph" w:styleId="CommentText">
    <w:name w:val="annotation text"/>
    <w:basedOn w:val="Normal"/>
    <w:link w:val="CommentTextChar"/>
    <w:uiPriority w:val="99"/>
    <w:semiHidden/>
    <w:unhideWhenUsed/>
    <w:rsid w:val="00AD2EAB"/>
    <w:pPr>
      <w:spacing w:line="240" w:lineRule="auto"/>
    </w:pPr>
    <w:rPr>
      <w:sz w:val="20"/>
      <w:szCs w:val="20"/>
    </w:rPr>
  </w:style>
  <w:style w:type="character" w:customStyle="1" w:styleId="CommentTextChar">
    <w:name w:val="Comment Text Char"/>
    <w:basedOn w:val="DefaultParagraphFont"/>
    <w:link w:val="CommentText"/>
    <w:uiPriority w:val="99"/>
    <w:semiHidden/>
    <w:rsid w:val="00AD2EAB"/>
  </w:style>
  <w:style w:type="paragraph" w:styleId="CommentSubject">
    <w:name w:val="annotation subject"/>
    <w:basedOn w:val="CommentText"/>
    <w:next w:val="CommentText"/>
    <w:link w:val="CommentSubjectChar"/>
    <w:uiPriority w:val="99"/>
    <w:semiHidden/>
    <w:unhideWhenUsed/>
    <w:rsid w:val="00AD2EAB"/>
    <w:rPr>
      <w:b/>
      <w:bCs/>
    </w:rPr>
  </w:style>
  <w:style w:type="character" w:customStyle="1" w:styleId="CommentSubjectChar">
    <w:name w:val="Comment Subject Char"/>
    <w:basedOn w:val="CommentTextChar"/>
    <w:link w:val="CommentSubject"/>
    <w:uiPriority w:val="99"/>
    <w:semiHidden/>
    <w:rsid w:val="00AD2EAB"/>
    <w:rPr>
      <w:b/>
      <w:bCs/>
    </w:rPr>
  </w:style>
  <w:style w:type="character" w:styleId="FollowedHyperlink">
    <w:name w:val="FollowedHyperlink"/>
    <w:basedOn w:val="DefaultParagraphFont"/>
    <w:uiPriority w:val="99"/>
    <w:semiHidden/>
    <w:unhideWhenUsed/>
    <w:rsid w:val="00F64439"/>
    <w:rPr>
      <w:color w:val="800080" w:themeColor="followedHyperlink"/>
      <w:u w:val="single"/>
    </w:rPr>
  </w:style>
  <w:style w:type="paragraph" w:styleId="ListParagraph">
    <w:name w:val="List Paragraph"/>
    <w:aliases w:val="Indented Paragraph"/>
    <w:basedOn w:val="Normal"/>
    <w:uiPriority w:val="34"/>
    <w:qFormat/>
    <w:rsid w:val="00253A90"/>
    <w:pPr>
      <w:ind w:left="720"/>
      <w:contextualSpacing/>
    </w:pPr>
  </w:style>
  <w:style w:type="character" w:customStyle="1" w:styleId="bold">
    <w:name w:val="bold"/>
    <w:basedOn w:val="DefaultParagraphFont"/>
    <w:rsid w:val="00253A90"/>
  </w:style>
  <w:style w:type="paragraph" w:styleId="Title">
    <w:name w:val="Title"/>
    <w:basedOn w:val="Normal"/>
    <w:link w:val="TitleChar"/>
    <w:qFormat/>
    <w:rsid w:val="00413107"/>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413107"/>
    <w:rPr>
      <w:rFonts w:ascii="Times New Roman" w:eastAsia="Times New Roman" w:hAnsi="Times New Roman"/>
      <w:b/>
      <w:bCs/>
      <w:sz w:val="24"/>
      <w:szCs w:val="24"/>
    </w:rPr>
  </w:style>
  <w:style w:type="character" w:styleId="Strong">
    <w:name w:val="Strong"/>
    <w:basedOn w:val="DefaultParagraphFont"/>
    <w:uiPriority w:val="22"/>
    <w:qFormat/>
    <w:rsid w:val="00FC3361"/>
    <w:rPr>
      <w:b/>
      <w:bCs/>
    </w:rPr>
  </w:style>
  <w:style w:type="paragraph" w:styleId="List">
    <w:name w:val="List"/>
    <w:basedOn w:val="Normal"/>
    <w:uiPriority w:val="99"/>
    <w:semiHidden/>
    <w:unhideWhenUsed/>
    <w:rsid w:val="00D87C9E"/>
    <w:pPr>
      <w:spacing w:before="120"/>
      <w:ind w:left="360" w:hanging="360"/>
      <w:contextualSpacing/>
    </w:pPr>
    <w:rPr>
      <w:rFonts w:ascii="Arial" w:eastAsiaTheme="minorHAnsi"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8015">
      <w:bodyDiv w:val="1"/>
      <w:marLeft w:val="0"/>
      <w:marRight w:val="0"/>
      <w:marTop w:val="0"/>
      <w:marBottom w:val="0"/>
      <w:divBdr>
        <w:top w:val="none" w:sz="0" w:space="0" w:color="auto"/>
        <w:left w:val="none" w:sz="0" w:space="0" w:color="auto"/>
        <w:bottom w:val="none" w:sz="0" w:space="0" w:color="auto"/>
        <w:right w:val="none" w:sz="0" w:space="0" w:color="auto"/>
      </w:divBdr>
    </w:div>
    <w:div w:id="1427846449">
      <w:bodyDiv w:val="1"/>
      <w:marLeft w:val="0"/>
      <w:marRight w:val="0"/>
      <w:marTop w:val="0"/>
      <w:marBottom w:val="0"/>
      <w:divBdr>
        <w:top w:val="none" w:sz="0" w:space="0" w:color="auto"/>
        <w:left w:val="none" w:sz="0" w:space="0" w:color="auto"/>
        <w:bottom w:val="none" w:sz="0" w:space="0" w:color="auto"/>
        <w:right w:val="none" w:sz="0" w:space="0" w:color="auto"/>
      </w:divBdr>
    </w:div>
    <w:div w:id="17187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rtech.org" TargetMode="External"/><Relationship Id="rId13" Type="http://schemas.openxmlformats.org/officeDocument/2006/relationships/hyperlink" Target="http://www.MNProgramsofStudy.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ositivelyminnesota.com/apps/lmi/projec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eek.org/care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te.mnscu.edu/professionaldevelopment/index.html" TargetMode="External"/><Relationship Id="rId4" Type="http://schemas.openxmlformats.org/officeDocument/2006/relationships/webSettings" Target="webSettings.xml"/><Relationship Id="rId9" Type="http://schemas.openxmlformats.org/officeDocument/2006/relationships/hyperlink" Target="http://www.learningthatworks.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te.mnscu.edu" TargetMode="External"/><Relationship Id="rId1" Type="http://schemas.openxmlformats.org/officeDocument/2006/relationships/hyperlink" Target="mailto:joann.simser@so.mns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7127</CharactersWithSpaces>
  <SharedDoc>false</SharedDoc>
  <HLinks>
    <vt:vector size="36" baseType="variant">
      <vt:variant>
        <vt:i4>4915216</vt:i4>
      </vt:variant>
      <vt:variant>
        <vt:i4>15</vt:i4>
      </vt:variant>
      <vt:variant>
        <vt:i4>0</vt:i4>
      </vt:variant>
      <vt:variant>
        <vt:i4>5</vt:i4>
      </vt:variant>
      <vt:variant>
        <vt:lpwstr>http://www.mnpos.com/</vt:lpwstr>
      </vt:variant>
      <vt:variant>
        <vt:lpwstr/>
      </vt:variant>
      <vt:variant>
        <vt:i4>7864446</vt:i4>
      </vt:variant>
      <vt:variant>
        <vt:i4>12</vt:i4>
      </vt:variant>
      <vt:variant>
        <vt:i4>0</vt:i4>
      </vt:variant>
      <vt:variant>
        <vt:i4>5</vt:i4>
      </vt:variant>
      <vt:variant>
        <vt:lpwstr>http://www.mnscu.edu/careers/overview.html</vt:lpwstr>
      </vt:variant>
      <vt:variant>
        <vt:lpwstr/>
      </vt:variant>
      <vt:variant>
        <vt:i4>4718714</vt:i4>
      </vt:variant>
      <vt:variant>
        <vt:i4>9</vt:i4>
      </vt:variant>
      <vt:variant>
        <vt:i4>0</vt:i4>
      </vt:variant>
      <vt:variant>
        <vt:i4>5</vt:i4>
      </vt:variant>
      <vt:variant>
        <vt:lpwstr>http://www.gwdc.org/skills_gap/index.html</vt:lpwstr>
      </vt:variant>
      <vt:variant>
        <vt:lpwstr/>
      </vt:variant>
      <vt:variant>
        <vt:i4>2097250</vt:i4>
      </vt:variant>
      <vt:variant>
        <vt:i4>6</vt:i4>
      </vt:variant>
      <vt:variant>
        <vt:i4>0</vt:i4>
      </vt:variant>
      <vt:variant>
        <vt:i4>5</vt:i4>
      </vt:variant>
      <vt:variant>
        <vt:lpwstr>http://www.positivelyminnesota.com/</vt:lpwstr>
      </vt:variant>
      <vt:variant>
        <vt:lpwstr/>
      </vt:variant>
      <vt:variant>
        <vt:i4>4390979</vt:i4>
      </vt:variant>
      <vt:variant>
        <vt:i4>3</vt:i4>
      </vt:variant>
      <vt:variant>
        <vt:i4>0</vt:i4>
      </vt:variant>
      <vt:variant>
        <vt:i4>5</vt:i4>
      </vt:variant>
      <vt:variant>
        <vt:lpwstr>http://www.iseek.org/careers</vt:lpwstr>
      </vt:variant>
      <vt:variant>
        <vt:lpwstr/>
      </vt:variant>
      <vt:variant>
        <vt:i4>3866659</vt:i4>
      </vt:variant>
      <vt:variant>
        <vt:i4>0</vt:i4>
      </vt:variant>
      <vt:variant>
        <vt:i4>0</vt:i4>
      </vt:variant>
      <vt:variant>
        <vt:i4>5</vt:i4>
      </vt:variant>
      <vt:variant>
        <vt:lpwstr>http://www.careertech.org/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 Simser</dc:creator>
  <cp:lastModifiedBy>Joann Simser</cp:lastModifiedBy>
  <cp:revision>5</cp:revision>
  <cp:lastPrinted>2013-01-31T18:50:00Z</cp:lastPrinted>
  <dcterms:created xsi:type="dcterms:W3CDTF">2015-02-21T00:07:00Z</dcterms:created>
  <dcterms:modified xsi:type="dcterms:W3CDTF">2015-02-21T01:21:00Z</dcterms:modified>
</cp:coreProperties>
</file>