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F5" w:rsidRPr="00B835CE" w:rsidRDefault="00BA06F5" w:rsidP="00BA06F5">
      <w:pPr>
        <w:jc w:val="center"/>
        <w:rPr>
          <w:sz w:val="32"/>
          <w:szCs w:val="32"/>
        </w:rPr>
      </w:pPr>
      <w:r>
        <w:rPr>
          <w:sz w:val="32"/>
          <w:szCs w:val="32"/>
        </w:rPr>
        <w:t>Career and Technical Education Talking Points</w:t>
      </w:r>
    </w:p>
    <w:p w:rsidR="00BA06F5" w:rsidRDefault="00BA06F5" w:rsidP="00BA06F5"/>
    <w:p w:rsidR="00BA06F5" w:rsidRPr="009B43C3" w:rsidRDefault="00BA06F5" w:rsidP="00BA06F5">
      <w:pPr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Minnesota is pleased to see a federal emphasis on technical preparation.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Community college initiatives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Retraining within the proposals for reauthorization of the Workforce Investment Act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 xml:space="preserve">Minnesota response is </w:t>
      </w:r>
      <w:proofErr w:type="spellStart"/>
      <w:r w:rsidRPr="009B43C3">
        <w:rPr>
          <w:sz w:val="22"/>
        </w:rPr>
        <w:t>FastTRAC</w:t>
      </w:r>
      <w:proofErr w:type="spellEnd"/>
      <w:r w:rsidRPr="009B43C3">
        <w:rPr>
          <w:sz w:val="22"/>
        </w:rPr>
        <w:t xml:space="preserve">, an initiatives supported in part by Joyce Foundation funds that links efforts of Adult Basic Education, workforce development programming through the state’s </w:t>
      </w:r>
      <w:proofErr w:type="spellStart"/>
      <w:r w:rsidRPr="009B43C3">
        <w:rPr>
          <w:sz w:val="22"/>
        </w:rPr>
        <w:t>WorkForce</w:t>
      </w:r>
      <w:proofErr w:type="spellEnd"/>
      <w:r w:rsidRPr="009B43C3">
        <w:rPr>
          <w:sz w:val="22"/>
        </w:rPr>
        <w:t xml:space="preserve"> Centers, and Perkins Programs of Study.</w:t>
      </w:r>
    </w:p>
    <w:p w:rsidR="00BA06F5" w:rsidRPr="009B43C3" w:rsidRDefault="00BA06F5" w:rsidP="00BA06F5">
      <w:pPr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Minnesota has implemented a unique-in-the-nation consortium structure that includes: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Building on collaboration between secondary and postsecondary systems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A single local funding application from secondary and postsecondary partners.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Retaining the best of Tech Prep in the application.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Addressing the needs of rural Minnesota and CTE programs that attract high numbers of students through a reserve allocation formula.</w:t>
      </w:r>
    </w:p>
    <w:p w:rsidR="00BA06F5" w:rsidRPr="009B43C3" w:rsidRDefault="00BA06F5" w:rsidP="00BA06F5">
      <w:pPr>
        <w:ind w:left="1080"/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Program of Study/Career Pathway Development using the Career Clusters model: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16 Clusters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81 Pathways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Grade 9 through grade 14 model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Seamless pathway between secondary and postsecondary (grades 11-14).</w:t>
      </w:r>
    </w:p>
    <w:p w:rsidR="00BA06F5" w:rsidRPr="009B43C3" w:rsidRDefault="00BA06F5" w:rsidP="00BA06F5">
      <w:pPr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Technical Skill Attainment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Core skills identified in five pilot Programs of Study.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Valid and reliable assessment instruments being identified for each POS where core skills are identified.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Implementation of assessments statewide within pilot POS beginning 2010-2011.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Process begun to add 6 additional POS for technical skill attainment in 2011-2012.</w:t>
      </w:r>
    </w:p>
    <w:p w:rsidR="00BA06F5" w:rsidRPr="009B43C3" w:rsidRDefault="00BA06F5" w:rsidP="00BA06F5">
      <w:pPr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Parent Information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Pathways to Success parent guide with multiple printings in four languages and now posted on Minnesota CTE web site (http://www.cte.mnscu.edu/).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Enthusiastic response from school guidance personnel.</w:t>
      </w:r>
    </w:p>
    <w:p w:rsidR="00BA06F5" w:rsidRPr="009B43C3" w:rsidRDefault="00BA06F5" w:rsidP="00BA06F5">
      <w:pPr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Site Visit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We would encourage you and be pleased to assist you in making a visit to one of the Career and Technical Education (CTE) programs in your district.</w:t>
      </w:r>
    </w:p>
    <w:p w:rsidR="00BA06F5" w:rsidRPr="009B43C3" w:rsidRDefault="00BA06F5" w:rsidP="00BA06F5">
      <w:pPr>
        <w:ind w:left="1080"/>
        <w:rPr>
          <w:sz w:val="22"/>
        </w:rPr>
      </w:pPr>
    </w:p>
    <w:p w:rsidR="00BA06F5" w:rsidRPr="009B43C3" w:rsidRDefault="00BA06F5" w:rsidP="00BA06F5">
      <w:pPr>
        <w:numPr>
          <w:ilvl w:val="0"/>
          <w:numId w:val="1"/>
        </w:numPr>
        <w:rPr>
          <w:sz w:val="22"/>
        </w:rPr>
      </w:pPr>
      <w:r w:rsidRPr="009B43C3">
        <w:rPr>
          <w:sz w:val="22"/>
        </w:rPr>
        <w:t>Career and Technical Education included in the state’s Race To The Top application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Standardized technical skill assessments in five Programs of Study linking secondary and postsecondary CTE programs.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Perkins consortium structure that brings secondary and postsecondary partners together for common planning and programming.</w:t>
      </w:r>
    </w:p>
    <w:p w:rsidR="00BA06F5" w:rsidRPr="009B43C3" w:rsidRDefault="00BA06F5" w:rsidP="00BA06F5">
      <w:pPr>
        <w:numPr>
          <w:ilvl w:val="1"/>
          <w:numId w:val="1"/>
        </w:numPr>
        <w:rPr>
          <w:sz w:val="22"/>
        </w:rPr>
      </w:pPr>
      <w:r w:rsidRPr="009B43C3">
        <w:rPr>
          <w:sz w:val="22"/>
        </w:rPr>
        <w:t>STEM Equity Pipeline to promote STEM careers for women and girls.</w:t>
      </w:r>
    </w:p>
    <w:p w:rsidR="00572CA5" w:rsidRDefault="00572CA5"/>
    <w:sectPr w:rsidR="00572CA5" w:rsidSect="00AC3CB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63FC"/>
    <w:multiLevelType w:val="hybridMultilevel"/>
    <w:tmpl w:val="BEDCB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06F5"/>
    <w:rsid w:val="00572CA5"/>
    <w:rsid w:val="00BA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carrieh</dc:creator>
  <cp:lastModifiedBy>carrieh</cp:lastModifiedBy>
  <cp:revision>2</cp:revision>
  <dcterms:created xsi:type="dcterms:W3CDTF">2010-03-24T13:57:00Z</dcterms:created>
  <dcterms:modified xsi:type="dcterms:W3CDTF">2010-03-24T13:57:00Z</dcterms:modified>
</cp:coreProperties>
</file>